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439"/>
        <w:gridCol w:w="4021"/>
        <w:gridCol w:w="1313"/>
        <w:gridCol w:w="1475"/>
        <w:gridCol w:w="4432"/>
      </w:tblGrid>
      <w:tr w:rsidR="003115DB" w:rsidRPr="009137E0" w14:paraId="1B7B3466" w14:textId="77777777" w:rsidTr="00F97E51">
        <w:trPr>
          <w:trHeight w:val="415"/>
          <w:tblHeader/>
          <w:jc w:val="center"/>
        </w:trPr>
        <w:tc>
          <w:tcPr>
            <w:tcW w:w="2707" w:type="dxa"/>
            <w:gridSpan w:val="2"/>
            <w:vAlign w:val="center"/>
          </w:tcPr>
          <w:p w14:paraId="0A1AE920" w14:textId="6F83BBE2" w:rsidR="003115DB" w:rsidRPr="009137E0" w:rsidRDefault="003115DB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Completed by: </w:t>
            </w:r>
          </w:p>
        </w:tc>
        <w:tc>
          <w:tcPr>
            <w:tcW w:w="4021" w:type="dxa"/>
            <w:vAlign w:val="center"/>
          </w:tcPr>
          <w:p w14:paraId="30DF9B55" w14:textId="4E768AA1" w:rsidR="003115DB" w:rsidRPr="009137E0" w:rsidRDefault="004D457D" w:rsidP="003115D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Proposer’s Name </w:t>
            </w:r>
          </w:p>
        </w:tc>
        <w:tc>
          <w:tcPr>
            <w:tcW w:w="2788" w:type="dxa"/>
            <w:gridSpan w:val="2"/>
            <w:vAlign w:val="center"/>
          </w:tcPr>
          <w:p w14:paraId="3E930451" w14:textId="38A6A032" w:rsidR="003115DB" w:rsidRPr="003115DB" w:rsidRDefault="003115DB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Modification Number:</w:t>
            </w:r>
          </w:p>
        </w:tc>
        <w:tc>
          <w:tcPr>
            <w:tcW w:w="4432" w:type="dxa"/>
            <w:vAlign w:val="center"/>
          </w:tcPr>
          <w:p w14:paraId="2CB0F386" w14:textId="3A2F38E9" w:rsidR="003115DB" w:rsidRPr="009137E0" w:rsidRDefault="003115DB" w:rsidP="003115D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115DB">
              <w:rPr>
                <w:rFonts w:ascii="Arial" w:hAnsi="Arial" w:cs="Arial"/>
              </w:rPr>
              <w:t>0678 / 0678A / 0678B</w:t>
            </w:r>
          </w:p>
        </w:tc>
      </w:tr>
      <w:tr w:rsidR="00000EB8" w:rsidRPr="009137E0" w14:paraId="0C5B6A2B" w14:textId="590FB910" w:rsidTr="003115DB">
        <w:trPr>
          <w:trHeight w:val="737"/>
          <w:tblHeader/>
          <w:jc w:val="center"/>
        </w:trPr>
        <w:tc>
          <w:tcPr>
            <w:tcW w:w="1268" w:type="dxa"/>
            <w:vAlign w:val="center"/>
          </w:tcPr>
          <w:p w14:paraId="4D969162" w14:textId="6CE42B3D" w:rsidR="00000EB8" w:rsidRPr="009137E0" w:rsidRDefault="00000EB8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3115DB">
              <w:rPr>
                <w:rFonts w:ascii="Arial" w:hAnsi="Arial" w:cs="Arial"/>
                <w:b/>
                <w:color w:val="FF0000"/>
              </w:rPr>
              <w:t>Reference</w:t>
            </w:r>
            <w:r w:rsidR="00C82899" w:rsidRPr="003115DB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137E0" w:rsidRPr="003115DB">
              <w:rPr>
                <w:rFonts w:ascii="Arial" w:hAnsi="Arial" w:cs="Arial"/>
                <w:b/>
                <w:color w:val="FF0000"/>
              </w:rPr>
              <w:t>(</w:t>
            </w:r>
            <w:r w:rsidR="003115DB" w:rsidRPr="003115DB">
              <w:rPr>
                <w:rFonts w:ascii="Arial" w:hAnsi="Arial" w:cs="Arial"/>
                <w:b/>
                <w:color w:val="FF0000"/>
              </w:rPr>
              <w:t>including</w:t>
            </w:r>
            <w:r w:rsidR="00C82899" w:rsidRPr="003115D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115DB">
              <w:rPr>
                <w:rFonts w:ascii="Arial" w:hAnsi="Arial" w:cs="Arial"/>
                <w:b/>
                <w:color w:val="FF0000"/>
              </w:rPr>
              <w:t>all sub-clauses)</w:t>
            </w:r>
          </w:p>
        </w:tc>
        <w:tc>
          <w:tcPr>
            <w:tcW w:w="1439" w:type="dxa"/>
            <w:vAlign w:val="center"/>
          </w:tcPr>
          <w:p w14:paraId="528977E0" w14:textId="3D028D7F" w:rsidR="00C82899" w:rsidRPr="009137E0" w:rsidRDefault="00C82899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9137E0">
              <w:rPr>
                <w:rFonts w:ascii="Arial" w:hAnsi="Arial" w:cs="Arial"/>
                <w:b/>
              </w:rPr>
              <w:t>Commentary Required</w:t>
            </w:r>
          </w:p>
        </w:tc>
        <w:tc>
          <w:tcPr>
            <w:tcW w:w="5334" w:type="dxa"/>
            <w:gridSpan w:val="2"/>
            <w:vAlign w:val="center"/>
          </w:tcPr>
          <w:p w14:paraId="2454444E" w14:textId="4F9998D8" w:rsidR="00000EB8" w:rsidRPr="009137E0" w:rsidRDefault="00000EB8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9137E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907" w:type="dxa"/>
            <w:gridSpan w:val="2"/>
            <w:vAlign w:val="center"/>
          </w:tcPr>
          <w:p w14:paraId="4B3B92FF" w14:textId="677A22C3" w:rsidR="00000EB8" w:rsidRPr="009137E0" w:rsidRDefault="00000EB8" w:rsidP="00C82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bscript"/>
              </w:rPr>
            </w:pPr>
            <w:r w:rsidRPr="009137E0">
              <w:rPr>
                <w:rFonts w:ascii="Arial" w:hAnsi="Arial" w:cs="Arial"/>
                <w:b/>
              </w:rPr>
              <w:t>Proposer</w:t>
            </w:r>
            <w:r w:rsidR="00C82899" w:rsidRPr="009137E0">
              <w:rPr>
                <w:rFonts w:ascii="Arial" w:hAnsi="Arial" w:cs="Arial"/>
                <w:b/>
              </w:rPr>
              <w:t>’s</w:t>
            </w:r>
            <w:r w:rsidRPr="009137E0">
              <w:rPr>
                <w:rFonts w:ascii="Arial" w:hAnsi="Arial" w:cs="Arial"/>
                <w:b/>
              </w:rPr>
              <w:t xml:space="preserve"> Commentary</w:t>
            </w:r>
            <w:r w:rsidR="00B47DEA" w:rsidRPr="009137E0">
              <w:rPr>
                <w:rFonts w:ascii="Arial" w:hAnsi="Arial" w:cs="Arial"/>
                <w:b/>
              </w:rPr>
              <w:t xml:space="preserve"> </w:t>
            </w:r>
            <w:r w:rsidR="00C82899" w:rsidRPr="009137E0">
              <w:rPr>
                <w:rFonts w:ascii="Arial" w:hAnsi="Arial" w:cs="Arial"/>
                <w:b/>
              </w:rPr>
              <w:t>o</w:t>
            </w:r>
            <w:r w:rsidR="00B47DEA" w:rsidRPr="009137E0">
              <w:rPr>
                <w:rFonts w:ascii="Arial" w:hAnsi="Arial" w:cs="Arial"/>
                <w:b/>
              </w:rPr>
              <w:t>n Compliance with the Article</w:t>
            </w:r>
          </w:p>
        </w:tc>
      </w:tr>
      <w:tr w:rsidR="00000EB8" w:rsidRPr="00000EB8" w14:paraId="6589BFEA" w14:textId="478327F6" w:rsidTr="003115DB">
        <w:trPr>
          <w:jc w:val="center"/>
        </w:trPr>
        <w:tc>
          <w:tcPr>
            <w:tcW w:w="1268" w:type="dxa"/>
            <w:vAlign w:val="center"/>
          </w:tcPr>
          <w:p w14:paraId="2E74B30B" w14:textId="4A21377D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</w:t>
            </w:r>
          </w:p>
        </w:tc>
        <w:tc>
          <w:tcPr>
            <w:tcW w:w="1439" w:type="dxa"/>
            <w:vAlign w:val="center"/>
          </w:tcPr>
          <w:p w14:paraId="7360D4DB" w14:textId="02A21B2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4E056A10" w14:textId="557AEE55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 xml:space="preserve">Subject </w:t>
            </w:r>
            <w:r w:rsidR="00B47DEA">
              <w:rPr>
                <w:rFonts w:ascii="Arial" w:hAnsi="Arial" w:cs="Arial"/>
              </w:rPr>
              <w:t>matter</w:t>
            </w:r>
          </w:p>
        </w:tc>
        <w:tc>
          <w:tcPr>
            <w:tcW w:w="5907" w:type="dxa"/>
            <w:gridSpan w:val="2"/>
            <w:vAlign w:val="center"/>
          </w:tcPr>
          <w:p w14:paraId="0DA0F4B8" w14:textId="6AA3ED71" w:rsidR="00000EB8" w:rsidRPr="004D457D" w:rsidRDefault="00000EB8" w:rsidP="00000E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00EB8" w:rsidRPr="00000EB8" w14:paraId="68AB5639" w14:textId="72D8DCFB" w:rsidTr="003115DB">
        <w:trPr>
          <w:jc w:val="center"/>
        </w:trPr>
        <w:tc>
          <w:tcPr>
            <w:tcW w:w="1268" w:type="dxa"/>
            <w:vAlign w:val="center"/>
          </w:tcPr>
          <w:p w14:paraId="0847B1D5" w14:textId="6884F71C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</w:t>
            </w:r>
          </w:p>
        </w:tc>
        <w:tc>
          <w:tcPr>
            <w:tcW w:w="1439" w:type="dxa"/>
            <w:vAlign w:val="center"/>
          </w:tcPr>
          <w:p w14:paraId="05938048" w14:textId="1FF96730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417DDDFE" w14:textId="64D2C9C5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Scope</w:t>
            </w:r>
          </w:p>
        </w:tc>
        <w:tc>
          <w:tcPr>
            <w:tcW w:w="5907" w:type="dxa"/>
            <w:gridSpan w:val="2"/>
            <w:vAlign w:val="center"/>
          </w:tcPr>
          <w:p w14:paraId="04A2747C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0F591728" w14:textId="675B70B7" w:rsidTr="003115DB">
        <w:trPr>
          <w:jc w:val="center"/>
        </w:trPr>
        <w:tc>
          <w:tcPr>
            <w:tcW w:w="1268" w:type="dxa"/>
            <w:vAlign w:val="center"/>
          </w:tcPr>
          <w:p w14:paraId="5D9BDF04" w14:textId="7E906FA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</w:t>
            </w:r>
          </w:p>
        </w:tc>
        <w:tc>
          <w:tcPr>
            <w:tcW w:w="1439" w:type="dxa"/>
            <w:vAlign w:val="center"/>
          </w:tcPr>
          <w:p w14:paraId="379909DC" w14:textId="3DF86E1D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FC7782A" w14:textId="06AD0B59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Definitions</w:t>
            </w:r>
          </w:p>
        </w:tc>
        <w:tc>
          <w:tcPr>
            <w:tcW w:w="5907" w:type="dxa"/>
            <w:gridSpan w:val="2"/>
            <w:vAlign w:val="center"/>
          </w:tcPr>
          <w:p w14:paraId="3A001B1C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0874FBD5" w14:textId="311CD9F7" w:rsidTr="003115DB">
        <w:trPr>
          <w:jc w:val="center"/>
        </w:trPr>
        <w:tc>
          <w:tcPr>
            <w:tcW w:w="1268" w:type="dxa"/>
            <w:vAlign w:val="center"/>
          </w:tcPr>
          <w:p w14:paraId="15DCD782" w14:textId="6CC2C5C3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4</w:t>
            </w:r>
          </w:p>
        </w:tc>
        <w:tc>
          <w:tcPr>
            <w:tcW w:w="1439" w:type="dxa"/>
            <w:vAlign w:val="center"/>
          </w:tcPr>
          <w:p w14:paraId="1DC814DF" w14:textId="7EA51890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4445A30" w14:textId="051BFD10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Transmission and non-transmission services and tariffs</w:t>
            </w:r>
          </w:p>
        </w:tc>
        <w:tc>
          <w:tcPr>
            <w:tcW w:w="5907" w:type="dxa"/>
            <w:gridSpan w:val="2"/>
            <w:vAlign w:val="center"/>
          </w:tcPr>
          <w:p w14:paraId="3AE29593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44E3426D" w14:textId="2190EEC3" w:rsidTr="003115DB">
        <w:trPr>
          <w:jc w:val="center"/>
        </w:trPr>
        <w:tc>
          <w:tcPr>
            <w:tcW w:w="1268" w:type="dxa"/>
            <w:vAlign w:val="center"/>
          </w:tcPr>
          <w:p w14:paraId="70946FB6" w14:textId="410C9569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5</w:t>
            </w:r>
          </w:p>
        </w:tc>
        <w:tc>
          <w:tcPr>
            <w:tcW w:w="1439" w:type="dxa"/>
            <w:vAlign w:val="center"/>
          </w:tcPr>
          <w:p w14:paraId="5CFB8FDC" w14:textId="1EAC37D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098E950D" w14:textId="1FD5827C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Cost allocation assessments</w:t>
            </w:r>
          </w:p>
        </w:tc>
        <w:tc>
          <w:tcPr>
            <w:tcW w:w="5907" w:type="dxa"/>
            <w:gridSpan w:val="2"/>
            <w:vAlign w:val="center"/>
          </w:tcPr>
          <w:p w14:paraId="502477D2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2708905E" w14:textId="221589FC" w:rsidTr="003115DB">
        <w:trPr>
          <w:jc w:val="center"/>
        </w:trPr>
        <w:tc>
          <w:tcPr>
            <w:tcW w:w="1268" w:type="dxa"/>
            <w:vAlign w:val="center"/>
          </w:tcPr>
          <w:p w14:paraId="5D782504" w14:textId="3EABF7B0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6</w:t>
            </w:r>
          </w:p>
        </w:tc>
        <w:tc>
          <w:tcPr>
            <w:tcW w:w="1439" w:type="dxa"/>
            <w:vAlign w:val="center"/>
          </w:tcPr>
          <w:p w14:paraId="339A96A0" w14:textId="4FE6D965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6530E6FD" w14:textId="39CAC955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Reference price methodology application</w:t>
            </w:r>
          </w:p>
        </w:tc>
        <w:tc>
          <w:tcPr>
            <w:tcW w:w="5907" w:type="dxa"/>
            <w:gridSpan w:val="2"/>
            <w:vAlign w:val="center"/>
          </w:tcPr>
          <w:p w14:paraId="2F5B4218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28CF051" w14:textId="5B035960" w:rsidTr="003115DB">
        <w:trPr>
          <w:jc w:val="center"/>
        </w:trPr>
        <w:tc>
          <w:tcPr>
            <w:tcW w:w="1268" w:type="dxa"/>
            <w:vAlign w:val="center"/>
          </w:tcPr>
          <w:p w14:paraId="0E972637" w14:textId="3B072D9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7</w:t>
            </w:r>
          </w:p>
        </w:tc>
        <w:tc>
          <w:tcPr>
            <w:tcW w:w="1439" w:type="dxa"/>
            <w:vAlign w:val="center"/>
          </w:tcPr>
          <w:p w14:paraId="7AC387C6" w14:textId="662ECA8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7A1CB12" w14:textId="4C913C4F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Choice of a reference price methodology</w:t>
            </w:r>
          </w:p>
        </w:tc>
        <w:tc>
          <w:tcPr>
            <w:tcW w:w="5907" w:type="dxa"/>
            <w:gridSpan w:val="2"/>
            <w:vAlign w:val="center"/>
          </w:tcPr>
          <w:p w14:paraId="2A889CBB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68FB1B53" w14:textId="55F17824" w:rsidTr="003115DB">
        <w:trPr>
          <w:jc w:val="center"/>
        </w:trPr>
        <w:tc>
          <w:tcPr>
            <w:tcW w:w="1268" w:type="dxa"/>
            <w:vAlign w:val="center"/>
          </w:tcPr>
          <w:p w14:paraId="636CAB08" w14:textId="2C38187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8</w:t>
            </w:r>
          </w:p>
        </w:tc>
        <w:tc>
          <w:tcPr>
            <w:tcW w:w="1439" w:type="dxa"/>
            <w:vAlign w:val="center"/>
          </w:tcPr>
          <w:p w14:paraId="467B42D3" w14:textId="2C1DCC1B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AEA3675" w14:textId="3A3CB868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Capacity weighted distance reference price methodology</w:t>
            </w:r>
          </w:p>
        </w:tc>
        <w:tc>
          <w:tcPr>
            <w:tcW w:w="5907" w:type="dxa"/>
            <w:gridSpan w:val="2"/>
            <w:vAlign w:val="center"/>
          </w:tcPr>
          <w:p w14:paraId="2B9ADE7D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05DEBEEA" w14:textId="6F5619FA" w:rsidTr="003115DB">
        <w:trPr>
          <w:jc w:val="center"/>
        </w:trPr>
        <w:tc>
          <w:tcPr>
            <w:tcW w:w="1268" w:type="dxa"/>
            <w:vAlign w:val="center"/>
          </w:tcPr>
          <w:p w14:paraId="63EC167C" w14:textId="44958AD1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9</w:t>
            </w:r>
          </w:p>
        </w:tc>
        <w:tc>
          <w:tcPr>
            <w:tcW w:w="1439" w:type="dxa"/>
            <w:vAlign w:val="center"/>
          </w:tcPr>
          <w:p w14:paraId="2986B2B7" w14:textId="0E2C00D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732782B0" w14:textId="01BF78B7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Adjustments of tariffs at entry points from and exit points to storage facilities and at entry points from LNG facilities and infrastructure ending isolation</w:t>
            </w:r>
          </w:p>
        </w:tc>
        <w:tc>
          <w:tcPr>
            <w:tcW w:w="5907" w:type="dxa"/>
            <w:gridSpan w:val="2"/>
            <w:vAlign w:val="center"/>
          </w:tcPr>
          <w:p w14:paraId="552F9157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42B6F388" w14:textId="1CE7AAD2" w:rsidTr="003115DB">
        <w:trPr>
          <w:jc w:val="center"/>
        </w:trPr>
        <w:tc>
          <w:tcPr>
            <w:tcW w:w="1268" w:type="dxa"/>
            <w:vAlign w:val="center"/>
          </w:tcPr>
          <w:p w14:paraId="6983787F" w14:textId="2FD6521B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10</w:t>
            </w:r>
          </w:p>
        </w:tc>
        <w:tc>
          <w:tcPr>
            <w:tcW w:w="1439" w:type="dxa"/>
            <w:vAlign w:val="center"/>
          </w:tcPr>
          <w:p w14:paraId="47F4FFE5" w14:textId="4928706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73B299D1" w14:textId="2F82CCBB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Rules for entry-exit systems within a Member State where more than one transmission system operator is active</w:t>
            </w:r>
          </w:p>
        </w:tc>
        <w:tc>
          <w:tcPr>
            <w:tcW w:w="5907" w:type="dxa"/>
            <w:gridSpan w:val="2"/>
            <w:vAlign w:val="center"/>
          </w:tcPr>
          <w:p w14:paraId="7E91098F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70EB0049" w14:textId="1D28B9E6" w:rsidTr="003115DB">
        <w:trPr>
          <w:jc w:val="center"/>
        </w:trPr>
        <w:tc>
          <w:tcPr>
            <w:tcW w:w="1268" w:type="dxa"/>
            <w:vAlign w:val="center"/>
          </w:tcPr>
          <w:p w14:paraId="27FD1992" w14:textId="762BBAE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11</w:t>
            </w:r>
          </w:p>
        </w:tc>
        <w:tc>
          <w:tcPr>
            <w:tcW w:w="1439" w:type="dxa"/>
            <w:vAlign w:val="center"/>
          </w:tcPr>
          <w:p w14:paraId="1AEA2953" w14:textId="2F6CD96A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3CAB73A" w14:textId="1D09C57E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Rules for entry-exit systems covering more than one Member State where more than one transmission system operator is active</w:t>
            </w:r>
          </w:p>
        </w:tc>
        <w:tc>
          <w:tcPr>
            <w:tcW w:w="5907" w:type="dxa"/>
            <w:gridSpan w:val="2"/>
            <w:vAlign w:val="center"/>
          </w:tcPr>
          <w:p w14:paraId="3E706547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224EBE83" w14:textId="78EA1B86" w:rsidTr="003115DB">
        <w:trPr>
          <w:jc w:val="center"/>
        </w:trPr>
        <w:tc>
          <w:tcPr>
            <w:tcW w:w="1268" w:type="dxa"/>
            <w:vAlign w:val="center"/>
          </w:tcPr>
          <w:p w14:paraId="4D4EC34A" w14:textId="6CCEDC49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12</w:t>
            </w:r>
          </w:p>
        </w:tc>
        <w:tc>
          <w:tcPr>
            <w:tcW w:w="1439" w:type="dxa"/>
            <w:vAlign w:val="center"/>
          </w:tcPr>
          <w:p w14:paraId="48F0CAA4" w14:textId="7DDD819C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61A6D522" w14:textId="2440119F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General provisions</w:t>
            </w:r>
          </w:p>
        </w:tc>
        <w:tc>
          <w:tcPr>
            <w:tcW w:w="5907" w:type="dxa"/>
            <w:gridSpan w:val="2"/>
            <w:vAlign w:val="center"/>
          </w:tcPr>
          <w:p w14:paraId="482ECF80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D413775" w14:textId="46DB4A06" w:rsidTr="003115DB">
        <w:trPr>
          <w:jc w:val="center"/>
        </w:trPr>
        <w:tc>
          <w:tcPr>
            <w:tcW w:w="1268" w:type="dxa"/>
            <w:vAlign w:val="center"/>
          </w:tcPr>
          <w:p w14:paraId="319DF2BD" w14:textId="7357AC27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13</w:t>
            </w:r>
          </w:p>
        </w:tc>
        <w:tc>
          <w:tcPr>
            <w:tcW w:w="1439" w:type="dxa"/>
            <w:vAlign w:val="center"/>
          </w:tcPr>
          <w:p w14:paraId="46A3C714" w14:textId="35C2302A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13761AB3" w14:textId="589AD32A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Level of multipliers and seasonal factors</w:t>
            </w:r>
          </w:p>
        </w:tc>
        <w:tc>
          <w:tcPr>
            <w:tcW w:w="5907" w:type="dxa"/>
            <w:gridSpan w:val="2"/>
            <w:vAlign w:val="center"/>
          </w:tcPr>
          <w:p w14:paraId="65B3B0ED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FE0C7B2" w14:textId="399771C1" w:rsidTr="003115DB">
        <w:trPr>
          <w:jc w:val="center"/>
        </w:trPr>
        <w:tc>
          <w:tcPr>
            <w:tcW w:w="1268" w:type="dxa"/>
            <w:vAlign w:val="center"/>
          </w:tcPr>
          <w:p w14:paraId="29643EEE" w14:textId="57A25731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14</w:t>
            </w:r>
          </w:p>
        </w:tc>
        <w:tc>
          <w:tcPr>
            <w:tcW w:w="1439" w:type="dxa"/>
            <w:vAlign w:val="center"/>
          </w:tcPr>
          <w:p w14:paraId="21578AD5" w14:textId="75BE83B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05CEECEF" w14:textId="1419156C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Calculation of reserve prices for non-yearly standard capacity products for firm capacity in absence of seasonal factors</w:t>
            </w:r>
          </w:p>
        </w:tc>
        <w:tc>
          <w:tcPr>
            <w:tcW w:w="5907" w:type="dxa"/>
            <w:gridSpan w:val="2"/>
            <w:vAlign w:val="center"/>
          </w:tcPr>
          <w:p w14:paraId="01F3C40C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0B434357" w14:textId="7FB4A60B" w:rsidTr="003115DB">
        <w:trPr>
          <w:jc w:val="center"/>
        </w:trPr>
        <w:tc>
          <w:tcPr>
            <w:tcW w:w="1268" w:type="dxa"/>
            <w:vAlign w:val="center"/>
          </w:tcPr>
          <w:p w14:paraId="3F30DA4D" w14:textId="0241A37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15</w:t>
            </w:r>
          </w:p>
        </w:tc>
        <w:tc>
          <w:tcPr>
            <w:tcW w:w="1439" w:type="dxa"/>
            <w:vAlign w:val="center"/>
          </w:tcPr>
          <w:p w14:paraId="5EB3A062" w14:textId="28CFCFC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033821B" w14:textId="3675C281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Calculation of reserve prices for non-yearly standard capacity products for firm capacity with seasonal factors</w:t>
            </w:r>
          </w:p>
        </w:tc>
        <w:tc>
          <w:tcPr>
            <w:tcW w:w="5907" w:type="dxa"/>
            <w:gridSpan w:val="2"/>
            <w:vAlign w:val="center"/>
          </w:tcPr>
          <w:p w14:paraId="50530236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4C9BBEC7" w14:textId="1B88B919" w:rsidTr="003115DB">
        <w:trPr>
          <w:jc w:val="center"/>
        </w:trPr>
        <w:tc>
          <w:tcPr>
            <w:tcW w:w="1268" w:type="dxa"/>
            <w:vAlign w:val="center"/>
          </w:tcPr>
          <w:p w14:paraId="0291F8AB" w14:textId="42FF075C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16</w:t>
            </w:r>
          </w:p>
        </w:tc>
        <w:tc>
          <w:tcPr>
            <w:tcW w:w="1439" w:type="dxa"/>
            <w:vAlign w:val="center"/>
          </w:tcPr>
          <w:p w14:paraId="6634FC56" w14:textId="47621C05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34FD6ED2" w14:textId="2C1CC16B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Calculation of reserve prices for standard capacity products for interruptible capacity</w:t>
            </w:r>
          </w:p>
        </w:tc>
        <w:tc>
          <w:tcPr>
            <w:tcW w:w="5907" w:type="dxa"/>
            <w:gridSpan w:val="2"/>
            <w:vAlign w:val="center"/>
          </w:tcPr>
          <w:p w14:paraId="6731A1A3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18D98A08" w14:textId="7612D4D6" w:rsidTr="003115DB">
        <w:trPr>
          <w:jc w:val="center"/>
        </w:trPr>
        <w:tc>
          <w:tcPr>
            <w:tcW w:w="1268" w:type="dxa"/>
            <w:vAlign w:val="center"/>
          </w:tcPr>
          <w:p w14:paraId="574F3A9F" w14:textId="022CDFB9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17</w:t>
            </w:r>
          </w:p>
        </w:tc>
        <w:tc>
          <w:tcPr>
            <w:tcW w:w="1439" w:type="dxa"/>
            <w:vAlign w:val="center"/>
          </w:tcPr>
          <w:p w14:paraId="2AA413B2" w14:textId="19D9BDCA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1588D748" w14:textId="19C1609D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General provisions</w:t>
            </w:r>
          </w:p>
        </w:tc>
        <w:tc>
          <w:tcPr>
            <w:tcW w:w="5907" w:type="dxa"/>
            <w:gridSpan w:val="2"/>
            <w:vAlign w:val="center"/>
          </w:tcPr>
          <w:p w14:paraId="4B7C01CA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45106811" w14:textId="6F5D7986" w:rsidTr="003115DB">
        <w:trPr>
          <w:jc w:val="center"/>
        </w:trPr>
        <w:tc>
          <w:tcPr>
            <w:tcW w:w="1268" w:type="dxa"/>
            <w:vAlign w:val="center"/>
          </w:tcPr>
          <w:p w14:paraId="535CF4E4" w14:textId="471FB7F8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18</w:t>
            </w:r>
          </w:p>
        </w:tc>
        <w:tc>
          <w:tcPr>
            <w:tcW w:w="1439" w:type="dxa"/>
            <w:vAlign w:val="center"/>
          </w:tcPr>
          <w:p w14:paraId="1BF570AE" w14:textId="5152BD48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02BBA2A" w14:textId="73945107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Under- and over-recovery</w:t>
            </w:r>
          </w:p>
        </w:tc>
        <w:tc>
          <w:tcPr>
            <w:tcW w:w="5907" w:type="dxa"/>
            <w:gridSpan w:val="2"/>
            <w:vAlign w:val="center"/>
          </w:tcPr>
          <w:p w14:paraId="700BED08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4147F708" w14:textId="149146B7" w:rsidTr="003115DB">
        <w:trPr>
          <w:jc w:val="center"/>
        </w:trPr>
        <w:tc>
          <w:tcPr>
            <w:tcW w:w="1268" w:type="dxa"/>
            <w:vAlign w:val="center"/>
          </w:tcPr>
          <w:p w14:paraId="67D4A2D6" w14:textId="5855D493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19</w:t>
            </w:r>
          </w:p>
        </w:tc>
        <w:tc>
          <w:tcPr>
            <w:tcW w:w="1439" w:type="dxa"/>
            <w:vAlign w:val="center"/>
          </w:tcPr>
          <w:p w14:paraId="75B1D9CF" w14:textId="6E34574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6377DAA2" w14:textId="31F095DC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Regulatory account</w:t>
            </w:r>
          </w:p>
        </w:tc>
        <w:tc>
          <w:tcPr>
            <w:tcW w:w="5907" w:type="dxa"/>
            <w:gridSpan w:val="2"/>
            <w:vAlign w:val="center"/>
          </w:tcPr>
          <w:p w14:paraId="2452A93B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5A1BEAA8" w14:textId="1233129B" w:rsidTr="003115DB">
        <w:trPr>
          <w:jc w:val="center"/>
        </w:trPr>
        <w:tc>
          <w:tcPr>
            <w:tcW w:w="1268" w:type="dxa"/>
            <w:vAlign w:val="center"/>
          </w:tcPr>
          <w:p w14:paraId="291F90DF" w14:textId="0D910AE5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20</w:t>
            </w:r>
          </w:p>
        </w:tc>
        <w:tc>
          <w:tcPr>
            <w:tcW w:w="1439" w:type="dxa"/>
            <w:vAlign w:val="center"/>
          </w:tcPr>
          <w:p w14:paraId="1BAB6177" w14:textId="69047297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B057768" w14:textId="42FDBF94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Reconciliation of regulatory account</w:t>
            </w:r>
          </w:p>
        </w:tc>
        <w:tc>
          <w:tcPr>
            <w:tcW w:w="5907" w:type="dxa"/>
            <w:gridSpan w:val="2"/>
            <w:vAlign w:val="center"/>
          </w:tcPr>
          <w:p w14:paraId="4C5D7370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1AFB257B" w14:textId="38227331" w:rsidTr="003115DB">
        <w:trPr>
          <w:jc w:val="center"/>
        </w:trPr>
        <w:tc>
          <w:tcPr>
            <w:tcW w:w="1268" w:type="dxa"/>
            <w:vAlign w:val="center"/>
          </w:tcPr>
          <w:p w14:paraId="4161EB93" w14:textId="4F711DA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21</w:t>
            </w:r>
          </w:p>
        </w:tc>
        <w:tc>
          <w:tcPr>
            <w:tcW w:w="1439" w:type="dxa"/>
            <w:vAlign w:val="center"/>
          </w:tcPr>
          <w:p w14:paraId="203638EA" w14:textId="6AACEF2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64974795" w14:textId="18C6DDC3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Pricing of bundled capacity</w:t>
            </w:r>
          </w:p>
        </w:tc>
        <w:tc>
          <w:tcPr>
            <w:tcW w:w="5907" w:type="dxa"/>
            <w:gridSpan w:val="2"/>
            <w:vAlign w:val="center"/>
          </w:tcPr>
          <w:p w14:paraId="1CAA0109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CF51A21" w14:textId="40F66EC4" w:rsidTr="003115DB">
        <w:trPr>
          <w:jc w:val="center"/>
        </w:trPr>
        <w:tc>
          <w:tcPr>
            <w:tcW w:w="1268" w:type="dxa"/>
            <w:vAlign w:val="center"/>
          </w:tcPr>
          <w:p w14:paraId="35AD76E3" w14:textId="0044CCC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22</w:t>
            </w:r>
          </w:p>
        </w:tc>
        <w:tc>
          <w:tcPr>
            <w:tcW w:w="1439" w:type="dxa"/>
            <w:vAlign w:val="center"/>
          </w:tcPr>
          <w:p w14:paraId="2F64113A" w14:textId="0760C03C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5AB6A992" w14:textId="5B322FE3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Pricing of capacity at a virtual interconnection point</w:t>
            </w:r>
          </w:p>
        </w:tc>
        <w:tc>
          <w:tcPr>
            <w:tcW w:w="5907" w:type="dxa"/>
            <w:gridSpan w:val="2"/>
            <w:vAlign w:val="center"/>
          </w:tcPr>
          <w:p w14:paraId="49042D65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5CFFD7DC" w14:textId="404E4D83" w:rsidTr="003115DB">
        <w:trPr>
          <w:jc w:val="center"/>
        </w:trPr>
        <w:tc>
          <w:tcPr>
            <w:tcW w:w="1268" w:type="dxa"/>
            <w:vAlign w:val="center"/>
          </w:tcPr>
          <w:p w14:paraId="0D4DBF6C" w14:textId="21B7FC4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23</w:t>
            </w:r>
          </w:p>
        </w:tc>
        <w:tc>
          <w:tcPr>
            <w:tcW w:w="1439" w:type="dxa"/>
            <w:vAlign w:val="center"/>
          </w:tcPr>
          <w:p w14:paraId="64D1CE89" w14:textId="25BB6F5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7AB55178" w14:textId="2CF597EB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Calculation of clearing price at interconnection points</w:t>
            </w:r>
          </w:p>
        </w:tc>
        <w:tc>
          <w:tcPr>
            <w:tcW w:w="5907" w:type="dxa"/>
            <w:gridSpan w:val="2"/>
            <w:vAlign w:val="center"/>
          </w:tcPr>
          <w:p w14:paraId="170081EB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6A7C866D" w14:textId="0984DA5C" w:rsidTr="003115DB">
        <w:trPr>
          <w:jc w:val="center"/>
        </w:trPr>
        <w:tc>
          <w:tcPr>
            <w:tcW w:w="1268" w:type="dxa"/>
            <w:vAlign w:val="center"/>
          </w:tcPr>
          <w:p w14:paraId="28D9E91E" w14:textId="42A4BAE3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24</w:t>
            </w:r>
          </w:p>
        </w:tc>
        <w:tc>
          <w:tcPr>
            <w:tcW w:w="1439" w:type="dxa"/>
            <w:vAlign w:val="center"/>
          </w:tcPr>
          <w:p w14:paraId="2F691492" w14:textId="22AA9F77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4AD0F139" w14:textId="5FED5880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Calculation of payable price at interconnection points</w:t>
            </w:r>
          </w:p>
        </w:tc>
        <w:tc>
          <w:tcPr>
            <w:tcW w:w="5907" w:type="dxa"/>
            <w:gridSpan w:val="2"/>
            <w:vAlign w:val="center"/>
          </w:tcPr>
          <w:p w14:paraId="48B9A18F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546F08FC" w14:textId="1477D640" w:rsidTr="003115DB">
        <w:trPr>
          <w:jc w:val="center"/>
        </w:trPr>
        <w:tc>
          <w:tcPr>
            <w:tcW w:w="1268" w:type="dxa"/>
            <w:vAlign w:val="center"/>
          </w:tcPr>
          <w:p w14:paraId="751D2F9A" w14:textId="1BF37D8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lastRenderedPageBreak/>
              <w:t>Article 25</w:t>
            </w:r>
          </w:p>
        </w:tc>
        <w:tc>
          <w:tcPr>
            <w:tcW w:w="1439" w:type="dxa"/>
            <w:vAlign w:val="center"/>
          </w:tcPr>
          <w:p w14:paraId="56B2BAA9" w14:textId="06B469A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7BB80BCC" w14:textId="6D46F85B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Conditions for offering payable price approaches</w:t>
            </w:r>
          </w:p>
        </w:tc>
        <w:tc>
          <w:tcPr>
            <w:tcW w:w="5907" w:type="dxa"/>
            <w:gridSpan w:val="2"/>
            <w:vAlign w:val="center"/>
          </w:tcPr>
          <w:p w14:paraId="54630CEC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2C038939" w14:textId="76F391FF" w:rsidTr="003115DB">
        <w:trPr>
          <w:jc w:val="center"/>
        </w:trPr>
        <w:tc>
          <w:tcPr>
            <w:tcW w:w="1268" w:type="dxa"/>
            <w:vAlign w:val="center"/>
          </w:tcPr>
          <w:p w14:paraId="36DF43B1" w14:textId="10D91B1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26</w:t>
            </w:r>
          </w:p>
        </w:tc>
        <w:tc>
          <w:tcPr>
            <w:tcW w:w="1439" w:type="dxa"/>
            <w:vAlign w:val="center"/>
          </w:tcPr>
          <w:p w14:paraId="70369C39" w14:textId="5246FCB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2E34B4E5" w14:textId="21AFCC20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Periodic consultation</w:t>
            </w:r>
          </w:p>
        </w:tc>
        <w:tc>
          <w:tcPr>
            <w:tcW w:w="5907" w:type="dxa"/>
            <w:gridSpan w:val="2"/>
            <w:vAlign w:val="center"/>
          </w:tcPr>
          <w:p w14:paraId="7934E2C9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6FB825A8" w14:textId="7CED42A9" w:rsidTr="003115DB">
        <w:trPr>
          <w:jc w:val="center"/>
        </w:trPr>
        <w:tc>
          <w:tcPr>
            <w:tcW w:w="1268" w:type="dxa"/>
            <w:vAlign w:val="center"/>
          </w:tcPr>
          <w:p w14:paraId="41EF62C9" w14:textId="533C0787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27</w:t>
            </w:r>
          </w:p>
        </w:tc>
        <w:tc>
          <w:tcPr>
            <w:tcW w:w="1439" w:type="dxa"/>
            <w:vAlign w:val="center"/>
          </w:tcPr>
          <w:p w14:paraId="71BCBAB8" w14:textId="08591342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17AD7F88" w14:textId="7A14242D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Periodic national regulatory authority decision-making</w:t>
            </w:r>
          </w:p>
        </w:tc>
        <w:tc>
          <w:tcPr>
            <w:tcW w:w="5907" w:type="dxa"/>
            <w:gridSpan w:val="2"/>
            <w:vAlign w:val="center"/>
          </w:tcPr>
          <w:p w14:paraId="35234129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084EBBE" w14:textId="24878DCD" w:rsidTr="003115DB">
        <w:trPr>
          <w:jc w:val="center"/>
        </w:trPr>
        <w:tc>
          <w:tcPr>
            <w:tcW w:w="1268" w:type="dxa"/>
            <w:vAlign w:val="center"/>
          </w:tcPr>
          <w:p w14:paraId="359B236A" w14:textId="6734A20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28</w:t>
            </w:r>
          </w:p>
        </w:tc>
        <w:tc>
          <w:tcPr>
            <w:tcW w:w="1439" w:type="dxa"/>
            <w:vAlign w:val="center"/>
          </w:tcPr>
          <w:p w14:paraId="67464D4B" w14:textId="5C446F3E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1BAA67A9" w14:textId="70542618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Consultation on discounts, multipliers and seasonal factors</w:t>
            </w:r>
          </w:p>
        </w:tc>
        <w:tc>
          <w:tcPr>
            <w:tcW w:w="5907" w:type="dxa"/>
            <w:gridSpan w:val="2"/>
            <w:vAlign w:val="center"/>
          </w:tcPr>
          <w:p w14:paraId="7F57A505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0293BF40" w14:textId="6062AFD1" w:rsidTr="003115DB">
        <w:trPr>
          <w:jc w:val="center"/>
        </w:trPr>
        <w:tc>
          <w:tcPr>
            <w:tcW w:w="1268" w:type="dxa"/>
            <w:vAlign w:val="center"/>
          </w:tcPr>
          <w:p w14:paraId="69A7E23B" w14:textId="341EB833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29</w:t>
            </w:r>
          </w:p>
        </w:tc>
        <w:tc>
          <w:tcPr>
            <w:tcW w:w="1439" w:type="dxa"/>
            <w:vAlign w:val="center"/>
          </w:tcPr>
          <w:p w14:paraId="7A1D016E" w14:textId="486C7411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689EDE01" w14:textId="0F1029B7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Information to be published before the annual yearly capacity auction</w:t>
            </w:r>
          </w:p>
        </w:tc>
        <w:tc>
          <w:tcPr>
            <w:tcW w:w="5907" w:type="dxa"/>
            <w:gridSpan w:val="2"/>
            <w:vAlign w:val="center"/>
          </w:tcPr>
          <w:p w14:paraId="44FFE0A2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194966FD" w14:textId="27597C6C" w:rsidTr="003115DB">
        <w:trPr>
          <w:jc w:val="center"/>
        </w:trPr>
        <w:tc>
          <w:tcPr>
            <w:tcW w:w="1268" w:type="dxa"/>
            <w:vAlign w:val="center"/>
          </w:tcPr>
          <w:p w14:paraId="7093276F" w14:textId="0E9F07EB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30</w:t>
            </w:r>
          </w:p>
        </w:tc>
        <w:tc>
          <w:tcPr>
            <w:tcW w:w="1439" w:type="dxa"/>
            <w:vAlign w:val="center"/>
          </w:tcPr>
          <w:p w14:paraId="6023E173" w14:textId="03AD8227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85CC19D" w14:textId="45CCE2C1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Information to be published before the tariff period</w:t>
            </w:r>
          </w:p>
        </w:tc>
        <w:tc>
          <w:tcPr>
            <w:tcW w:w="5907" w:type="dxa"/>
            <w:gridSpan w:val="2"/>
            <w:vAlign w:val="center"/>
          </w:tcPr>
          <w:p w14:paraId="2F06FF58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51EE292" w14:textId="3A7EB114" w:rsidTr="003115DB">
        <w:trPr>
          <w:jc w:val="center"/>
        </w:trPr>
        <w:tc>
          <w:tcPr>
            <w:tcW w:w="1268" w:type="dxa"/>
            <w:vAlign w:val="center"/>
          </w:tcPr>
          <w:p w14:paraId="4D5BC9F3" w14:textId="29CB55BA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31</w:t>
            </w:r>
          </w:p>
        </w:tc>
        <w:tc>
          <w:tcPr>
            <w:tcW w:w="1439" w:type="dxa"/>
            <w:vAlign w:val="center"/>
          </w:tcPr>
          <w:p w14:paraId="46E2CD44" w14:textId="3266BAB5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555F5EEB" w14:textId="5B8CE2B9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Form of publication</w:t>
            </w:r>
          </w:p>
        </w:tc>
        <w:tc>
          <w:tcPr>
            <w:tcW w:w="5907" w:type="dxa"/>
            <w:gridSpan w:val="2"/>
            <w:vAlign w:val="center"/>
          </w:tcPr>
          <w:p w14:paraId="295C2B80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6F278279" w14:textId="4FFDA22B" w:rsidTr="003115DB">
        <w:trPr>
          <w:jc w:val="center"/>
        </w:trPr>
        <w:tc>
          <w:tcPr>
            <w:tcW w:w="1268" w:type="dxa"/>
            <w:vAlign w:val="center"/>
          </w:tcPr>
          <w:p w14:paraId="1047A704" w14:textId="0E144229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32</w:t>
            </w:r>
          </w:p>
        </w:tc>
        <w:tc>
          <w:tcPr>
            <w:tcW w:w="1439" w:type="dxa"/>
            <w:vAlign w:val="center"/>
          </w:tcPr>
          <w:p w14:paraId="69CA2447" w14:textId="2A156F7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27DEFE86" w14:textId="05E97F6D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Publication notice period</w:t>
            </w:r>
          </w:p>
        </w:tc>
        <w:tc>
          <w:tcPr>
            <w:tcW w:w="5907" w:type="dxa"/>
            <w:gridSpan w:val="2"/>
            <w:vAlign w:val="center"/>
          </w:tcPr>
          <w:p w14:paraId="50432F33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655DB77A" w14:textId="3C76A0BA" w:rsidTr="003115DB">
        <w:trPr>
          <w:jc w:val="center"/>
        </w:trPr>
        <w:tc>
          <w:tcPr>
            <w:tcW w:w="1268" w:type="dxa"/>
            <w:vAlign w:val="center"/>
          </w:tcPr>
          <w:p w14:paraId="2B60C1CB" w14:textId="6836215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33</w:t>
            </w:r>
          </w:p>
        </w:tc>
        <w:tc>
          <w:tcPr>
            <w:tcW w:w="1439" w:type="dxa"/>
            <w:vAlign w:val="center"/>
          </w:tcPr>
          <w:p w14:paraId="1CAD2A2A" w14:textId="13632864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9F76343" w14:textId="0ADEB407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Tariff principles for incremental capacity</w:t>
            </w:r>
          </w:p>
        </w:tc>
        <w:tc>
          <w:tcPr>
            <w:tcW w:w="5907" w:type="dxa"/>
            <w:gridSpan w:val="2"/>
            <w:vAlign w:val="center"/>
          </w:tcPr>
          <w:p w14:paraId="2E00DA4F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7B609D22" w14:textId="71C3E143" w:rsidTr="003115DB">
        <w:trPr>
          <w:jc w:val="center"/>
        </w:trPr>
        <w:tc>
          <w:tcPr>
            <w:tcW w:w="1268" w:type="dxa"/>
            <w:vAlign w:val="center"/>
          </w:tcPr>
          <w:p w14:paraId="766C4F34" w14:textId="0D7427A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34</w:t>
            </w:r>
          </w:p>
        </w:tc>
        <w:tc>
          <w:tcPr>
            <w:tcW w:w="1439" w:type="dxa"/>
            <w:vAlign w:val="center"/>
          </w:tcPr>
          <w:p w14:paraId="78A670D5" w14:textId="5E114238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427806B" w14:textId="3A375AE2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Methodologies and parameters used to determine the allowed or target revenue of transmission system operators</w:t>
            </w:r>
          </w:p>
        </w:tc>
        <w:tc>
          <w:tcPr>
            <w:tcW w:w="5907" w:type="dxa"/>
            <w:gridSpan w:val="2"/>
            <w:vAlign w:val="center"/>
          </w:tcPr>
          <w:p w14:paraId="02A5BC02" w14:textId="5845719C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7B00DFFA" w14:textId="2B2A4529" w:rsidTr="003115DB">
        <w:trPr>
          <w:jc w:val="center"/>
        </w:trPr>
        <w:tc>
          <w:tcPr>
            <w:tcW w:w="1268" w:type="dxa"/>
            <w:vAlign w:val="center"/>
          </w:tcPr>
          <w:p w14:paraId="5D8E36A0" w14:textId="782A7319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35</w:t>
            </w:r>
          </w:p>
        </w:tc>
        <w:tc>
          <w:tcPr>
            <w:tcW w:w="1439" w:type="dxa"/>
            <w:vAlign w:val="center"/>
          </w:tcPr>
          <w:p w14:paraId="4DD1B630" w14:textId="57263988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00B050"/>
              </w:rPr>
              <w:t>Yes</w:t>
            </w:r>
          </w:p>
        </w:tc>
        <w:tc>
          <w:tcPr>
            <w:tcW w:w="5334" w:type="dxa"/>
            <w:gridSpan w:val="2"/>
            <w:vAlign w:val="center"/>
          </w:tcPr>
          <w:p w14:paraId="33D28632" w14:textId="24438854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Existing contracts</w:t>
            </w:r>
          </w:p>
        </w:tc>
        <w:tc>
          <w:tcPr>
            <w:tcW w:w="5907" w:type="dxa"/>
            <w:gridSpan w:val="2"/>
            <w:vAlign w:val="center"/>
          </w:tcPr>
          <w:p w14:paraId="0FAC04BA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50F28161" w14:textId="553DFAFB" w:rsidTr="003115DB">
        <w:trPr>
          <w:jc w:val="center"/>
        </w:trPr>
        <w:tc>
          <w:tcPr>
            <w:tcW w:w="1268" w:type="dxa"/>
            <w:vAlign w:val="center"/>
          </w:tcPr>
          <w:p w14:paraId="5611A271" w14:textId="68190368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36</w:t>
            </w:r>
          </w:p>
        </w:tc>
        <w:tc>
          <w:tcPr>
            <w:tcW w:w="1439" w:type="dxa"/>
            <w:vAlign w:val="center"/>
          </w:tcPr>
          <w:p w14:paraId="21CAFD2F" w14:textId="7079F26A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7D91A5E2" w14:textId="014727B5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Implementation monitoring</w:t>
            </w:r>
          </w:p>
        </w:tc>
        <w:tc>
          <w:tcPr>
            <w:tcW w:w="5907" w:type="dxa"/>
            <w:gridSpan w:val="2"/>
            <w:vAlign w:val="center"/>
          </w:tcPr>
          <w:p w14:paraId="45D25DDA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7B43C996" w14:textId="326758E6" w:rsidTr="003115DB">
        <w:trPr>
          <w:jc w:val="center"/>
        </w:trPr>
        <w:tc>
          <w:tcPr>
            <w:tcW w:w="1268" w:type="dxa"/>
            <w:vAlign w:val="center"/>
          </w:tcPr>
          <w:p w14:paraId="6D9C3905" w14:textId="7D5C4496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37</w:t>
            </w:r>
          </w:p>
        </w:tc>
        <w:tc>
          <w:tcPr>
            <w:tcW w:w="1439" w:type="dxa"/>
            <w:vAlign w:val="center"/>
          </w:tcPr>
          <w:p w14:paraId="0912F93C" w14:textId="1155CED0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1D44631D" w14:textId="035FB0EC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Power to grant derogations</w:t>
            </w:r>
          </w:p>
        </w:tc>
        <w:tc>
          <w:tcPr>
            <w:tcW w:w="5907" w:type="dxa"/>
            <w:gridSpan w:val="2"/>
            <w:vAlign w:val="center"/>
          </w:tcPr>
          <w:p w14:paraId="41CA4E30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  <w:tr w:rsidR="00000EB8" w:rsidRPr="00000EB8" w14:paraId="3154A5E2" w14:textId="09267117" w:rsidTr="003115DB">
        <w:trPr>
          <w:jc w:val="center"/>
        </w:trPr>
        <w:tc>
          <w:tcPr>
            <w:tcW w:w="1268" w:type="dxa"/>
            <w:vAlign w:val="center"/>
          </w:tcPr>
          <w:p w14:paraId="07967FEF" w14:textId="7F653B85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Article 38</w:t>
            </w:r>
          </w:p>
        </w:tc>
        <w:tc>
          <w:tcPr>
            <w:tcW w:w="1439" w:type="dxa"/>
            <w:vAlign w:val="center"/>
          </w:tcPr>
          <w:p w14:paraId="12A450EB" w14:textId="23EBB03F" w:rsidR="00000EB8" w:rsidRPr="00000EB8" w:rsidRDefault="00000EB8" w:rsidP="00000EB8">
            <w:pPr>
              <w:jc w:val="center"/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5334" w:type="dxa"/>
            <w:gridSpan w:val="2"/>
            <w:vAlign w:val="center"/>
          </w:tcPr>
          <w:p w14:paraId="33B6A32E" w14:textId="37F02410" w:rsidR="00000EB8" w:rsidRPr="00000EB8" w:rsidRDefault="00000EB8" w:rsidP="00000EB8">
            <w:pPr>
              <w:rPr>
                <w:rFonts w:ascii="Arial" w:hAnsi="Arial" w:cs="Arial"/>
              </w:rPr>
            </w:pPr>
            <w:r w:rsidRPr="00000EB8">
              <w:rPr>
                <w:rFonts w:ascii="Arial" w:hAnsi="Arial" w:cs="Arial"/>
              </w:rPr>
              <w:t>Entry into force</w:t>
            </w:r>
          </w:p>
        </w:tc>
        <w:tc>
          <w:tcPr>
            <w:tcW w:w="5907" w:type="dxa"/>
            <w:gridSpan w:val="2"/>
            <w:vAlign w:val="center"/>
          </w:tcPr>
          <w:p w14:paraId="22CD372E" w14:textId="77777777" w:rsidR="00000EB8" w:rsidRPr="004D457D" w:rsidRDefault="00000EB8" w:rsidP="00000EB8">
            <w:pPr>
              <w:rPr>
                <w:rFonts w:ascii="Arial" w:hAnsi="Arial" w:cs="Arial"/>
              </w:rPr>
            </w:pPr>
          </w:p>
        </w:tc>
      </w:tr>
    </w:tbl>
    <w:p w14:paraId="251C2D5E" w14:textId="3B14F67C" w:rsidR="00A21462" w:rsidRPr="00000EB8" w:rsidRDefault="00A21462">
      <w:pPr>
        <w:rPr>
          <w:rFonts w:ascii="Arial" w:hAnsi="Arial" w:cs="Arial"/>
        </w:rPr>
      </w:pPr>
    </w:p>
    <w:p w14:paraId="2E40BFC6" w14:textId="0509E8C6" w:rsidR="007118AB" w:rsidRPr="00000EB8" w:rsidRDefault="007118AB">
      <w:pPr>
        <w:rPr>
          <w:rFonts w:ascii="Arial" w:hAnsi="Arial" w:cs="Arial"/>
        </w:rPr>
      </w:pPr>
    </w:p>
    <w:p w14:paraId="68339F3C" w14:textId="1F70C08D" w:rsidR="007118AB" w:rsidRPr="00000EB8" w:rsidRDefault="007118AB">
      <w:pPr>
        <w:rPr>
          <w:rFonts w:ascii="Arial" w:hAnsi="Arial" w:cs="Arial"/>
        </w:rPr>
      </w:pPr>
    </w:p>
    <w:p w14:paraId="4397AF73" w14:textId="77777777" w:rsidR="007118AB" w:rsidRPr="00000EB8" w:rsidRDefault="007118AB">
      <w:pPr>
        <w:rPr>
          <w:rFonts w:ascii="Arial" w:hAnsi="Arial" w:cs="Arial"/>
        </w:rPr>
      </w:pPr>
    </w:p>
    <w:sectPr w:rsidR="007118AB" w:rsidRPr="00000EB8" w:rsidSect="00527FBC">
      <w:headerReference w:type="default" r:id="rId8"/>
      <w:footerReference w:type="default" r:id="rId9"/>
      <w:pgSz w:w="16838" w:h="11906" w:orient="landscape"/>
      <w:pgMar w:top="851" w:right="1440" w:bottom="851" w:left="1440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CF05" w14:textId="77777777" w:rsidR="007C0D20" w:rsidRDefault="007C0D20" w:rsidP="00986169">
      <w:r>
        <w:separator/>
      </w:r>
    </w:p>
  </w:endnote>
  <w:endnote w:type="continuationSeparator" w:id="0">
    <w:p w14:paraId="1A5EE604" w14:textId="77777777" w:rsidR="007C0D20" w:rsidRDefault="007C0D20" w:rsidP="0098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2D26" w14:textId="77777777" w:rsidR="00527FBC" w:rsidRPr="00527FBC" w:rsidRDefault="00527FBC" w:rsidP="00527FBC">
    <w:pPr>
      <w:pStyle w:val="Header"/>
      <w:ind w:right="360"/>
      <w:jc w:val="center"/>
      <w:rPr>
        <w:rFonts w:ascii="Arial" w:hAnsi="Arial" w:cs="Arial"/>
        <w:sz w:val="16"/>
      </w:rPr>
    </w:pPr>
    <w:r w:rsidRPr="00527FBC">
      <w:rPr>
        <w:rFonts w:ascii="Arial" w:hAnsi="Arial" w:cs="Arial"/>
        <w:lang w:val="en-US"/>
      </w:rPr>
      <w:t xml:space="preserve">Page </w:t>
    </w:r>
    <w:r w:rsidRPr="00527FBC">
      <w:rPr>
        <w:rFonts w:ascii="Arial" w:hAnsi="Arial" w:cs="Arial"/>
        <w:lang w:val="en-US"/>
      </w:rPr>
      <w:fldChar w:fldCharType="begin"/>
    </w:r>
    <w:r w:rsidRPr="00527FBC">
      <w:rPr>
        <w:rFonts w:ascii="Arial" w:hAnsi="Arial" w:cs="Arial"/>
        <w:lang w:val="en-US"/>
      </w:rPr>
      <w:instrText xml:space="preserve"> PAGE </w:instrText>
    </w:r>
    <w:r w:rsidRPr="00527FBC">
      <w:rPr>
        <w:rFonts w:ascii="Arial" w:hAnsi="Arial" w:cs="Arial"/>
        <w:lang w:val="en-US"/>
      </w:rPr>
      <w:fldChar w:fldCharType="separate"/>
    </w:r>
    <w:r w:rsidRPr="00527FBC">
      <w:rPr>
        <w:rFonts w:ascii="Arial" w:hAnsi="Arial" w:cs="Arial"/>
        <w:lang w:val="en-US"/>
      </w:rPr>
      <w:t>1</w:t>
    </w:r>
    <w:r w:rsidRPr="00527FBC">
      <w:rPr>
        <w:rFonts w:ascii="Arial" w:hAnsi="Arial" w:cs="Arial"/>
        <w:lang w:val="en-US"/>
      </w:rPr>
      <w:fldChar w:fldCharType="end"/>
    </w:r>
    <w:r w:rsidRPr="00527FBC">
      <w:rPr>
        <w:rFonts w:ascii="Arial" w:hAnsi="Arial" w:cs="Arial"/>
        <w:lang w:val="en-US"/>
      </w:rPr>
      <w:t xml:space="preserve"> of </w:t>
    </w:r>
    <w:r w:rsidRPr="00527FBC">
      <w:rPr>
        <w:rFonts w:ascii="Arial" w:hAnsi="Arial" w:cs="Arial"/>
        <w:lang w:val="en-US"/>
      </w:rPr>
      <w:fldChar w:fldCharType="begin"/>
    </w:r>
    <w:r w:rsidRPr="00527FBC">
      <w:rPr>
        <w:rFonts w:ascii="Arial" w:hAnsi="Arial" w:cs="Arial"/>
        <w:lang w:val="en-US"/>
      </w:rPr>
      <w:instrText xml:space="preserve"> NUMPAGES </w:instrText>
    </w:r>
    <w:r w:rsidRPr="00527FBC">
      <w:rPr>
        <w:rFonts w:ascii="Arial" w:hAnsi="Arial" w:cs="Arial"/>
        <w:lang w:val="en-US"/>
      </w:rPr>
      <w:fldChar w:fldCharType="separate"/>
    </w:r>
    <w:r w:rsidRPr="00527FBC">
      <w:rPr>
        <w:rFonts w:ascii="Arial" w:hAnsi="Arial" w:cs="Arial"/>
        <w:lang w:val="en-US"/>
      </w:rPr>
      <w:t>2</w:t>
    </w:r>
    <w:r w:rsidRPr="00527FBC">
      <w:rPr>
        <w:rFonts w:ascii="Arial" w:hAnsi="Arial" w:cs="Arial"/>
        <w:lang w:val="en-US"/>
      </w:rPr>
      <w:fldChar w:fldCharType="end"/>
    </w:r>
  </w:p>
  <w:p w14:paraId="536250E7" w14:textId="7621FF5C" w:rsidR="00986169" w:rsidRDefault="0098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5792" w14:textId="77777777" w:rsidR="007C0D20" w:rsidRDefault="007C0D20" w:rsidP="00986169">
      <w:r>
        <w:separator/>
      </w:r>
    </w:p>
  </w:footnote>
  <w:footnote w:type="continuationSeparator" w:id="0">
    <w:p w14:paraId="4A3BED0E" w14:textId="77777777" w:rsidR="007C0D20" w:rsidRDefault="007C0D20" w:rsidP="0098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069" w14:textId="6533929F" w:rsidR="003115DB" w:rsidRDefault="00986169" w:rsidP="00986169">
    <w:pPr>
      <w:pStyle w:val="Header"/>
      <w:tabs>
        <w:tab w:val="clear" w:pos="4513"/>
        <w:tab w:val="center" w:pos="3828"/>
      </w:tabs>
      <w:spacing w:before="120" w:after="240"/>
      <w:rPr>
        <w:rFonts w:ascii="Arial" w:hAnsi="Arial" w:cs="Arial"/>
        <w:b/>
        <w:sz w:val="28"/>
        <w:szCs w:val="28"/>
      </w:rPr>
    </w:pPr>
    <w:r w:rsidRPr="00986169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8580102" wp14:editId="247849CD">
          <wp:extent cx="2059200" cy="273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986169">
      <w:rPr>
        <w:rFonts w:ascii="Arial" w:hAnsi="Arial" w:cs="Arial"/>
        <w:b/>
        <w:sz w:val="28"/>
        <w:szCs w:val="28"/>
      </w:rPr>
      <w:t xml:space="preserve">Modification 0678 </w:t>
    </w:r>
    <w:r w:rsidR="00C82899">
      <w:rPr>
        <w:rFonts w:ascii="Arial" w:hAnsi="Arial" w:cs="Arial"/>
        <w:b/>
        <w:sz w:val="28"/>
        <w:szCs w:val="28"/>
      </w:rPr>
      <w:t xml:space="preserve">Workgroup </w:t>
    </w:r>
  </w:p>
  <w:p w14:paraId="51850EDE" w14:textId="22BDE209" w:rsidR="00986169" w:rsidRPr="00986169" w:rsidRDefault="003115DB" w:rsidP="003115DB">
    <w:pPr>
      <w:pStyle w:val="Header"/>
      <w:tabs>
        <w:tab w:val="clear" w:pos="4513"/>
        <w:tab w:val="center" w:pos="3828"/>
      </w:tabs>
      <w:spacing w:before="120" w:after="2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TAR NC </w:t>
    </w:r>
    <w:r w:rsidR="00986169" w:rsidRPr="00986169">
      <w:rPr>
        <w:rFonts w:ascii="Arial" w:hAnsi="Arial" w:cs="Arial"/>
        <w:b/>
        <w:sz w:val="28"/>
        <w:szCs w:val="28"/>
      </w:rPr>
      <w:t>Compliance Assessment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2CF0"/>
    <w:multiLevelType w:val="hybridMultilevel"/>
    <w:tmpl w:val="676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9"/>
    <w:rsid w:val="00000EB8"/>
    <w:rsid w:val="000D3274"/>
    <w:rsid w:val="000F0E54"/>
    <w:rsid w:val="00215E57"/>
    <w:rsid w:val="00286328"/>
    <w:rsid w:val="002E56CB"/>
    <w:rsid w:val="003115DB"/>
    <w:rsid w:val="004056CB"/>
    <w:rsid w:val="004D457D"/>
    <w:rsid w:val="00527FBC"/>
    <w:rsid w:val="00561E61"/>
    <w:rsid w:val="0057524C"/>
    <w:rsid w:val="005A3A60"/>
    <w:rsid w:val="005C2CE6"/>
    <w:rsid w:val="006323AF"/>
    <w:rsid w:val="006E4A0E"/>
    <w:rsid w:val="007118AB"/>
    <w:rsid w:val="00715C84"/>
    <w:rsid w:val="00715E3B"/>
    <w:rsid w:val="007C0D20"/>
    <w:rsid w:val="007E4DC9"/>
    <w:rsid w:val="007F31C2"/>
    <w:rsid w:val="00806EE3"/>
    <w:rsid w:val="008C0B84"/>
    <w:rsid w:val="008F76A8"/>
    <w:rsid w:val="009137E0"/>
    <w:rsid w:val="00940130"/>
    <w:rsid w:val="00986169"/>
    <w:rsid w:val="00A21462"/>
    <w:rsid w:val="00A87CA2"/>
    <w:rsid w:val="00B47DEA"/>
    <w:rsid w:val="00C82899"/>
    <w:rsid w:val="00C920B0"/>
    <w:rsid w:val="00D12012"/>
    <w:rsid w:val="00D211D7"/>
    <w:rsid w:val="00D85C3C"/>
    <w:rsid w:val="00DB1B52"/>
    <w:rsid w:val="00DE258F"/>
    <w:rsid w:val="00E878A4"/>
    <w:rsid w:val="00ED1E27"/>
    <w:rsid w:val="00FC09E0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22E2F"/>
  <w15:chartTrackingRefBased/>
  <w15:docId w15:val="{42F3DF66-9BA8-45BD-9061-B72AD6D3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WGR">
    <w:name w:val="UNC WGR"/>
    <w:basedOn w:val="Normal"/>
    <w:link w:val="UNCWGRChar"/>
    <w:qFormat/>
    <w:rsid w:val="007F31C2"/>
    <w:pPr>
      <w:keepNext/>
      <w:numPr>
        <w:ilvl w:val="7"/>
      </w:num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  <w:spacing w:before="160"/>
      <w:ind w:left="136" w:right="238"/>
      <w:outlineLvl w:val="7"/>
    </w:pPr>
    <w:rPr>
      <w:rFonts w:ascii="Arial" w:eastAsia="Times New Roman" w:hAnsi="Arial" w:cs="Arial"/>
      <w:b/>
      <w:bCs/>
      <w:color w:val="FFFFFF"/>
      <w:kern w:val="32"/>
      <w:sz w:val="28"/>
      <w:szCs w:val="28"/>
      <w:lang w:eastAsia="en-GB"/>
    </w:rPr>
  </w:style>
  <w:style w:type="character" w:customStyle="1" w:styleId="UNCWGRChar">
    <w:name w:val="UNC WGR Char"/>
    <w:basedOn w:val="DefaultParagraphFont"/>
    <w:link w:val="UNCWGR"/>
    <w:rsid w:val="007F31C2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0096D7"/>
      <w:lang w:eastAsia="en-GB"/>
    </w:rPr>
  </w:style>
  <w:style w:type="paragraph" w:customStyle="1" w:styleId="UNCMod">
    <w:name w:val="UNC Mod"/>
    <w:basedOn w:val="Normal"/>
    <w:link w:val="UNCModChar"/>
    <w:qFormat/>
    <w:rsid w:val="007F31C2"/>
    <w:pPr>
      <w:keepNext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160"/>
      <w:ind w:left="136" w:right="238"/>
      <w:outlineLvl w:val="7"/>
    </w:pPr>
    <w:rPr>
      <w:rFonts w:ascii="Arial" w:eastAsia="Times New Roman" w:hAnsi="Arial" w:cs="Arial"/>
      <w:b/>
      <w:bCs/>
      <w:color w:val="FFFFFF"/>
      <w:kern w:val="32"/>
      <w:sz w:val="28"/>
      <w:szCs w:val="28"/>
      <w:lang w:eastAsia="en-GB"/>
    </w:rPr>
  </w:style>
  <w:style w:type="character" w:customStyle="1" w:styleId="UNCModChar">
    <w:name w:val="UNC Mod Char"/>
    <w:basedOn w:val="DefaultParagraphFont"/>
    <w:link w:val="UNCMod"/>
    <w:rsid w:val="007F31C2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00B274"/>
      <w:lang w:eastAsia="en-GB"/>
    </w:rPr>
  </w:style>
  <w:style w:type="table" w:styleId="TableGrid">
    <w:name w:val="Table Grid"/>
    <w:basedOn w:val="TableNormal"/>
    <w:uiPriority w:val="39"/>
    <w:rsid w:val="00FD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C3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6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6169"/>
  </w:style>
  <w:style w:type="paragraph" w:styleId="Footer">
    <w:name w:val="footer"/>
    <w:basedOn w:val="Normal"/>
    <w:link w:val="FooterChar"/>
    <w:uiPriority w:val="99"/>
    <w:unhideWhenUsed/>
    <w:rsid w:val="00986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5EC3-CEC4-4806-B5B3-EF5E7F7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2</cp:revision>
  <dcterms:created xsi:type="dcterms:W3CDTF">2019-02-12T14:57:00Z</dcterms:created>
  <dcterms:modified xsi:type="dcterms:W3CDTF">2019-02-12T14:57:00Z</dcterms:modified>
</cp:coreProperties>
</file>