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77811" w14:textId="06211DF2" w:rsidR="00D72BDD" w:rsidRPr="00D72BDD" w:rsidRDefault="00553454" w:rsidP="00D72BDD">
      <w:pPr>
        <w:jc w:val="center"/>
        <w:rPr>
          <w:b/>
        </w:rPr>
      </w:pPr>
      <w:r>
        <w:rPr>
          <w:b/>
        </w:rPr>
        <w:t xml:space="preserve">MODIFICATION </w:t>
      </w:r>
      <w:r w:rsidR="00D72BDD" w:rsidRPr="00D72BDD">
        <w:rPr>
          <w:b/>
        </w:rPr>
        <w:t>0</w:t>
      </w:r>
      <w:r w:rsidR="001675DA">
        <w:rPr>
          <w:b/>
        </w:rPr>
        <w:t>734</w:t>
      </w:r>
      <w:r w:rsidR="00D72BDD" w:rsidRPr="00D72BDD">
        <w:rPr>
          <w:b/>
        </w:rPr>
        <w:t>S</w:t>
      </w:r>
    </w:p>
    <w:p w14:paraId="17F2C0DA" w14:textId="63E4E813" w:rsidR="001675DA" w:rsidRDefault="001675DA">
      <w:pPr>
        <w:jc w:val="center"/>
        <w:rPr>
          <w:b/>
        </w:rPr>
      </w:pPr>
      <w:r w:rsidRPr="001675DA">
        <w:rPr>
          <w:b/>
        </w:rPr>
        <w:t xml:space="preserve">REPORTING VALID CONFIRMED THEFT OF GAS INTO CENTRAL SYSTEMS AND REPORTING SUSPECTED THEFT TO SUPPLIERS </w:t>
      </w:r>
    </w:p>
    <w:p w14:paraId="486032C2" w14:textId="1F4AE9A9" w:rsidR="008751B0" w:rsidRDefault="00553454">
      <w:pPr>
        <w:jc w:val="center"/>
        <w:rPr>
          <w:b/>
        </w:rPr>
      </w:pPr>
      <w:r>
        <w:rPr>
          <w:b/>
        </w:rPr>
        <w:t>LEGAL TEXT - EXPLANATORY TABLE</w:t>
      </w:r>
    </w:p>
    <w:tbl>
      <w:tblPr>
        <w:tblStyle w:val="TableGrid"/>
        <w:tblW w:w="0" w:type="auto"/>
        <w:tblLook w:val="04A0" w:firstRow="1" w:lastRow="0" w:firstColumn="1" w:lastColumn="0" w:noHBand="0" w:noVBand="1"/>
      </w:tblPr>
      <w:tblGrid>
        <w:gridCol w:w="3510"/>
        <w:gridCol w:w="3686"/>
        <w:gridCol w:w="6978"/>
      </w:tblGrid>
      <w:tr w:rsidR="008751B0" w14:paraId="486032C6" w14:textId="77777777" w:rsidTr="00DF6489">
        <w:tc>
          <w:tcPr>
            <w:tcW w:w="3510" w:type="dxa"/>
          </w:tcPr>
          <w:p w14:paraId="486032C3" w14:textId="77777777" w:rsidR="008751B0" w:rsidRDefault="00553454">
            <w:pPr>
              <w:rPr>
                <w:b/>
              </w:rPr>
            </w:pPr>
            <w:r>
              <w:rPr>
                <w:b/>
              </w:rPr>
              <w:t>UNC Section</w:t>
            </w:r>
          </w:p>
        </w:tc>
        <w:tc>
          <w:tcPr>
            <w:tcW w:w="3686" w:type="dxa"/>
          </w:tcPr>
          <w:p w14:paraId="486032C4" w14:textId="77777777" w:rsidR="008751B0" w:rsidRDefault="00553454">
            <w:pPr>
              <w:rPr>
                <w:b/>
              </w:rPr>
            </w:pPr>
            <w:r>
              <w:rPr>
                <w:b/>
              </w:rPr>
              <w:t>Reference</w:t>
            </w:r>
          </w:p>
        </w:tc>
        <w:tc>
          <w:tcPr>
            <w:tcW w:w="6978" w:type="dxa"/>
          </w:tcPr>
          <w:p w14:paraId="486032C5" w14:textId="77777777" w:rsidR="008751B0" w:rsidRDefault="00553454">
            <w:pPr>
              <w:rPr>
                <w:b/>
              </w:rPr>
            </w:pPr>
            <w:r>
              <w:rPr>
                <w:b/>
              </w:rPr>
              <w:t>Explanation</w:t>
            </w:r>
          </w:p>
        </w:tc>
      </w:tr>
      <w:tr w:rsidR="008751B0" w14:paraId="486032CA" w14:textId="77777777" w:rsidTr="00DF6489">
        <w:tc>
          <w:tcPr>
            <w:tcW w:w="3510" w:type="dxa"/>
          </w:tcPr>
          <w:p w14:paraId="486032C7" w14:textId="1CB67B9C" w:rsidR="008C34EF" w:rsidRDefault="00553454">
            <w:pPr>
              <w:rPr>
                <w:b/>
              </w:rPr>
            </w:pPr>
            <w:r>
              <w:rPr>
                <w:b/>
              </w:rPr>
              <w:t>Transportation Principal Document</w:t>
            </w:r>
          </w:p>
        </w:tc>
        <w:tc>
          <w:tcPr>
            <w:tcW w:w="3686" w:type="dxa"/>
          </w:tcPr>
          <w:p w14:paraId="486032C8" w14:textId="77777777" w:rsidR="008751B0" w:rsidRDefault="008751B0"/>
        </w:tc>
        <w:tc>
          <w:tcPr>
            <w:tcW w:w="6978" w:type="dxa"/>
          </w:tcPr>
          <w:p w14:paraId="486032C9" w14:textId="77777777" w:rsidR="008751B0" w:rsidRDefault="008751B0"/>
        </w:tc>
      </w:tr>
      <w:tr w:rsidR="008751B0" w14:paraId="486032CE" w14:textId="77777777" w:rsidTr="00DF6489">
        <w:tc>
          <w:tcPr>
            <w:tcW w:w="3510" w:type="dxa"/>
          </w:tcPr>
          <w:p w14:paraId="5ABA004B" w14:textId="77777777" w:rsidR="008751B0" w:rsidRDefault="00553454">
            <w:pPr>
              <w:rPr>
                <w:b/>
              </w:rPr>
            </w:pPr>
            <w:r>
              <w:rPr>
                <w:b/>
              </w:rPr>
              <w:t xml:space="preserve">Section </w:t>
            </w:r>
            <w:r w:rsidR="001675DA">
              <w:rPr>
                <w:b/>
              </w:rPr>
              <w:t>E</w:t>
            </w:r>
            <w:r>
              <w:rPr>
                <w:b/>
              </w:rPr>
              <w:t xml:space="preserve"> –</w:t>
            </w:r>
            <w:r w:rsidR="00ED1F7F">
              <w:rPr>
                <w:b/>
              </w:rPr>
              <w:t xml:space="preserve"> </w:t>
            </w:r>
            <w:r w:rsidR="001675DA" w:rsidRPr="001675DA">
              <w:rPr>
                <w:b/>
              </w:rPr>
              <w:t xml:space="preserve">Daily Quantities, Imbalances </w:t>
            </w:r>
            <w:r w:rsidR="009823ED">
              <w:rPr>
                <w:b/>
              </w:rPr>
              <w:t>a</w:t>
            </w:r>
            <w:r w:rsidR="001675DA" w:rsidRPr="001675DA">
              <w:rPr>
                <w:b/>
              </w:rPr>
              <w:t>nd Reconciliation</w:t>
            </w:r>
          </w:p>
          <w:p w14:paraId="486032CB" w14:textId="2CAA36A2" w:rsidR="008C34EF" w:rsidRDefault="008C34EF">
            <w:pPr>
              <w:rPr>
                <w:b/>
              </w:rPr>
            </w:pPr>
            <w:r>
              <w:rPr>
                <w:b/>
              </w:rPr>
              <w:t>21 June 2021</w:t>
            </w:r>
          </w:p>
        </w:tc>
        <w:tc>
          <w:tcPr>
            <w:tcW w:w="3686" w:type="dxa"/>
          </w:tcPr>
          <w:p w14:paraId="486032CC" w14:textId="77777777" w:rsidR="008751B0" w:rsidRDefault="008751B0"/>
        </w:tc>
        <w:tc>
          <w:tcPr>
            <w:tcW w:w="6978" w:type="dxa"/>
          </w:tcPr>
          <w:p w14:paraId="486032CD" w14:textId="77777777" w:rsidR="008751B0" w:rsidRDefault="008751B0"/>
        </w:tc>
      </w:tr>
      <w:tr w:rsidR="001675DA" w14:paraId="4CA256EA" w14:textId="77777777" w:rsidTr="00DF6489">
        <w:tc>
          <w:tcPr>
            <w:tcW w:w="3510" w:type="dxa"/>
          </w:tcPr>
          <w:p w14:paraId="595B773F" w14:textId="77777777" w:rsidR="001675DA" w:rsidRDefault="001675DA">
            <w:pPr>
              <w:rPr>
                <w:b/>
              </w:rPr>
            </w:pPr>
          </w:p>
        </w:tc>
        <w:tc>
          <w:tcPr>
            <w:tcW w:w="3686" w:type="dxa"/>
          </w:tcPr>
          <w:p w14:paraId="24FA8A86" w14:textId="6EA88A07" w:rsidR="001675DA" w:rsidRDefault="001675DA">
            <w:r>
              <w:t>Adjustment to paragraph 1.3.1(c)(iv)</w:t>
            </w:r>
          </w:p>
        </w:tc>
        <w:tc>
          <w:tcPr>
            <w:tcW w:w="6978" w:type="dxa"/>
          </w:tcPr>
          <w:p w14:paraId="3AA0F9F7" w14:textId="6D00C92E" w:rsidR="001675DA" w:rsidRDefault="001675DA">
            <w:r>
              <w:t>Extends the list of example circumstances in which a Reconciliation Meter Reading can occur</w:t>
            </w:r>
            <w:r w:rsidR="0092036A">
              <w:t xml:space="preserve"> (in the case of (iv) </w:t>
            </w:r>
            <w:r>
              <w:t>as the result of a “determination other than by meter reading</w:t>
            </w:r>
            <w:r w:rsidR="0092036A">
              <w:t>”</w:t>
            </w:r>
            <w:r>
              <w:t xml:space="preserve">), to include those where the determination is driven by the receipt of a valid Confirmed </w:t>
            </w:r>
            <w:r w:rsidR="0092036A">
              <w:t>Energy Theft Claim.</w:t>
            </w:r>
          </w:p>
        </w:tc>
      </w:tr>
      <w:tr w:rsidR="0092036A" w14:paraId="2B96FEEE" w14:textId="77777777" w:rsidTr="00DF6489">
        <w:tc>
          <w:tcPr>
            <w:tcW w:w="3510" w:type="dxa"/>
          </w:tcPr>
          <w:p w14:paraId="7B334C0C" w14:textId="77777777" w:rsidR="0092036A" w:rsidRDefault="0092036A">
            <w:pPr>
              <w:rPr>
                <w:b/>
              </w:rPr>
            </w:pPr>
          </w:p>
        </w:tc>
        <w:tc>
          <w:tcPr>
            <w:tcW w:w="3686" w:type="dxa"/>
          </w:tcPr>
          <w:p w14:paraId="79F97389" w14:textId="59DB7D3B" w:rsidR="0092036A" w:rsidRDefault="0092036A">
            <w:r>
              <w:t>Deletion of 3.5</w:t>
            </w:r>
          </w:p>
        </w:tc>
        <w:tc>
          <w:tcPr>
            <w:tcW w:w="6978" w:type="dxa"/>
          </w:tcPr>
          <w:p w14:paraId="71D24B13" w14:textId="19CB4C0B" w:rsidR="0092036A" w:rsidRDefault="0092036A">
            <w:r>
              <w:t>The Working Group has determined that (i) there is overlap between E3.5 and the problem addressed by UNC 734; and (ii) that overlap is complete (i.e. there is nothing addressed in 3.5 that is not addressed by UNC 734).  Accordingly, the Working Group has determined that E3.5 can be removed from the Code.</w:t>
            </w:r>
          </w:p>
        </w:tc>
      </w:tr>
      <w:tr w:rsidR="0092036A" w14:paraId="0EC0968C" w14:textId="77777777" w:rsidTr="00DF6489">
        <w:tc>
          <w:tcPr>
            <w:tcW w:w="3510" w:type="dxa"/>
          </w:tcPr>
          <w:p w14:paraId="4C12860F" w14:textId="77777777" w:rsidR="0092036A" w:rsidRDefault="0092036A">
            <w:pPr>
              <w:rPr>
                <w:b/>
              </w:rPr>
            </w:pPr>
          </w:p>
        </w:tc>
        <w:tc>
          <w:tcPr>
            <w:tcW w:w="3686" w:type="dxa"/>
          </w:tcPr>
          <w:p w14:paraId="7DADD765" w14:textId="77777777" w:rsidR="0092036A" w:rsidRDefault="0092036A"/>
        </w:tc>
        <w:tc>
          <w:tcPr>
            <w:tcW w:w="6978" w:type="dxa"/>
          </w:tcPr>
          <w:p w14:paraId="112D37C1" w14:textId="77777777" w:rsidR="0092036A" w:rsidRDefault="0092036A"/>
        </w:tc>
      </w:tr>
      <w:tr w:rsidR="0092036A" w14:paraId="24A2FAF2" w14:textId="77777777" w:rsidTr="00DF6489">
        <w:tc>
          <w:tcPr>
            <w:tcW w:w="3510" w:type="dxa"/>
          </w:tcPr>
          <w:p w14:paraId="7BA20F1D" w14:textId="77777777" w:rsidR="0092036A" w:rsidRDefault="0076197B">
            <w:pPr>
              <w:rPr>
                <w:b/>
              </w:rPr>
            </w:pPr>
            <w:r>
              <w:rPr>
                <w:b/>
              </w:rPr>
              <w:t>Section V – General</w:t>
            </w:r>
          </w:p>
          <w:p w14:paraId="0A37D70E" w14:textId="132AC466" w:rsidR="008C34EF" w:rsidRDefault="008C34EF">
            <w:pPr>
              <w:rPr>
                <w:b/>
              </w:rPr>
            </w:pPr>
            <w:r>
              <w:rPr>
                <w:b/>
              </w:rPr>
              <w:t>21 June 2021</w:t>
            </w:r>
          </w:p>
        </w:tc>
        <w:tc>
          <w:tcPr>
            <w:tcW w:w="3686" w:type="dxa"/>
          </w:tcPr>
          <w:p w14:paraId="1B41D9DA" w14:textId="38757B85" w:rsidR="0092036A" w:rsidRDefault="0076197B">
            <w:r>
              <w:t>New</w:t>
            </w:r>
            <w:r w:rsidR="006110F3">
              <w:t xml:space="preserve"> paragraph</w:t>
            </w:r>
            <w:r>
              <w:t xml:space="preserve"> 14.1.1</w:t>
            </w:r>
          </w:p>
        </w:tc>
        <w:tc>
          <w:tcPr>
            <w:tcW w:w="6978" w:type="dxa"/>
          </w:tcPr>
          <w:p w14:paraId="484F48A7" w14:textId="27ED6789" w:rsidR="0092036A" w:rsidRDefault="0076197B">
            <w:r>
              <w:t xml:space="preserve">A new paragraph to provide the definitions introduced by 734S.  Key subtleties to note include. 1 – </w:t>
            </w:r>
            <w:r w:rsidRPr="0076197B">
              <w:rPr>
                <w:i/>
                <w:iCs/>
              </w:rPr>
              <w:t>Confirmed Energy Theft Claim</w:t>
            </w:r>
            <w:r>
              <w:t xml:space="preserve"> and </w:t>
            </w:r>
            <w:r w:rsidRPr="0076197B">
              <w:rPr>
                <w:i/>
                <w:iCs/>
              </w:rPr>
              <w:t xml:space="preserve">Confirmed Energy Theft </w:t>
            </w:r>
            <w:r>
              <w:rPr>
                <w:i/>
                <w:iCs/>
              </w:rPr>
              <w:t xml:space="preserve">Correction </w:t>
            </w:r>
            <w:r>
              <w:t xml:space="preserve">are documents the content of which are driven by the Retail Energy Code and are not within the control of the UNC. </w:t>
            </w:r>
            <w:r w:rsidR="009E6C21">
              <w:t>2 – Each Confirmed Energy Theft Claim (and therefore each Confirmed Energy Theft Correction or Objection) will be made on an individual supply meter point basis.</w:t>
            </w:r>
            <w:r>
              <w:t xml:space="preserve"> </w:t>
            </w:r>
            <w:r w:rsidR="009E6C21">
              <w:t>3</w:t>
            </w:r>
            <w:r>
              <w:t xml:space="preserve"> </w:t>
            </w:r>
            <w:r w:rsidR="006110F3">
              <w:t>–</w:t>
            </w:r>
            <w:r>
              <w:t xml:space="preserve"> </w:t>
            </w:r>
            <w:r w:rsidR="006110F3">
              <w:t xml:space="preserve">A </w:t>
            </w:r>
            <w:r w:rsidRPr="006110F3">
              <w:t>Confirmed Energy Theft Correction</w:t>
            </w:r>
            <w:r w:rsidRPr="006110F3">
              <w:t xml:space="preserve"> </w:t>
            </w:r>
            <w:r w:rsidR="006110F3" w:rsidRPr="006110F3">
              <w:t xml:space="preserve">will withdraw and replace a </w:t>
            </w:r>
            <w:r w:rsidR="006110F3" w:rsidRPr="006110F3">
              <w:t>Confirmed Energy Theft Claim</w:t>
            </w:r>
            <w:r w:rsidR="006110F3" w:rsidRPr="006110F3">
              <w:t xml:space="preserve">, it does not correct it.  </w:t>
            </w:r>
            <w:r w:rsidR="009E6C21">
              <w:t>4</w:t>
            </w:r>
            <w:r w:rsidR="006110F3" w:rsidRPr="006110F3">
              <w:t xml:space="preserve"> </w:t>
            </w:r>
            <w:r w:rsidR="009E6C21">
              <w:t>–</w:t>
            </w:r>
            <w:r w:rsidR="006110F3" w:rsidRPr="006110F3">
              <w:t xml:space="preserve"> A </w:t>
            </w:r>
            <w:r w:rsidR="006110F3" w:rsidRPr="006110F3">
              <w:rPr>
                <w:i/>
                <w:iCs/>
              </w:rPr>
              <w:t>Confirmed Energy Theft Notification</w:t>
            </w:r>
            <w:r w:rsidR="006110F3" w:rsidRPr="006110F3">
              <w:t xml:space="preserve"> is an umbrella term for both Confirmed Energy Theft Claim and Confirmed Energy Theft Correction.</w:t>
            </w:r>
          </w:p>
        </w:tc>
      </w:tr>
      <w:tr w:rsidR="0092036A" w14:paraId="20090E4F" w14:textId="77777777" w:rsidTr="00DF6489">
        <w:tc>
          <w:tcPr>
            <w:tcW w:w="3510" w:type="dxa"/>
          </w:tcPr>
          <w:p w14:paraId="0A4CD85E" w14:textId="77777777" w:rsidR="0092036A" w:rsidRDefault="0092036A">
            <w:pPr>
              <w:rPr>
                <w:b/>
              </w:rPr>
            </w:pPr>
          </w:p>
        </w:tc>
        <w:tc>
          <w:tcPr>
            <w:tcW w:w="3686" w:type="dxa"/>
          </w:tcPr>
          <w:p w14:paraId="411534BD" w14:textId="2999744A" w:rsidR="0092036A" w:rsidRDefault="006110F3">
            <w:r>
              <w:t>New paragraph 14.1.</w:t>
            </w:r>
            <w:r>
              <w:t>5</w:t>
            </w:r>
          </w:p>
        </w:tc>
        <w:tc>
          <w:tcPr>
            <w:tcW w:w="6978" w:type="dxa"/>
          </w:tcPr>
          <w:p w14:paraId="6594FF0A" w14:textId="4CE0E049" w:rsidR="0092036A" w:rsidRDefault="006B42B7">
            <w:r>
              <w:t xml:space="preserve">Establishes </w:t>
            </w:r>
            <w:r>
              <w:t xml:space="preserve">that CDSP will share “relevant details” within </w:t>
            </w:r>
            <w:r>
              <w:t>Confirmed Energy Theft Notifications</w:t>
            </w:r>
            <w:r>
              <w:t xml:space="preserve"> with appropriate </w:t>
            </w:r>
            <w:r w:rsidR="00D43099">
              <w:t>User</w:t>
            </w:r>
            <w:r w:rsidR="00D43099">
              <w:t>s</w:t>
            </w:r>
            <w:r>
              <w:t xml:space="preserve">.  It is possible that a </w:t>
            </w:r>
            <w:r>
              <w:t xml:space="preserve">Confirmed </w:t>
            </w:r>
            <w:r>
              <w:lastRenderedPageBreak/>
              <w:t>Energy Theft Notifications</w:t>
            </w:r>
            <w:r>
              <w:t xml:space="preserve"> will cover more than one </w:t>
            </w:r>
            <w:r w:rsidR="00D43099">
              <w:t>User</w:t>
            </w:r>
            <w:r>
              <w:t xml:space="preserve">’s ownership of </w:t>
            </w:r>
            <w:r w:rsidR="009E6C21">
              <w:t>the</w:t>
            </w:r>
            <w:r>
              <w:t xml:space="preserve"> supply point</w:t>
            </w:r>
            <w:r w:rsidR="009E6C21">
              <w:t xml:space="preserve"> to which it relates</w:t>
            </w:r>
            <w:r>
              <w:t xml:space="preserve">. Accordingly, this clause creates an element of selective judgement by CDSP in relation to information a </w:t>
            </w:r>
            <w:r w:rsidR="00D43099">
              <w:t xml:space="preserve">User </w:t>
            </w:r>
            <w:r>
              <w:t>might regard as confidential (supply point volume data).  Working Group and CDSP have confirmed happy with this approach.</w:t>
            </w:r>
          </w:p>
        </w:tc>
      </w:tr>
      <w:tr w:rsidR="008751B0" w14:paraId="486032D2" w14:textId="77777777" w:rsidTr="00DF6489">
        <w:tc>
          <w:tcPr>
            <w:tcW w:w="3510" w:type="dxa"/>
          </w:tcPr>
          <w:p w14:paraId="486032CF" w14:textId="77777777" w:rsidR="008751B0" w:rsidRDefault="008751B0"/>
        </w:tc>
        <w:tc>
          <w:tcPr>
            <w:tcW w:w="3686" w:type="dxa"/>
          </w:tcPr>
          <w:p w14:paraId="486032D0" w14:textId="32170C4C" w:rsidR="006B42B7" w:rsidRDefault="006B42B7">
            <w:r>
              <w:t>New paragraph 14.1.</w:t>
            </w:r>
            <w:r>
              <w:t>6</w:t>
            </w:r>
          </w:p>
        </w:tc>
        <w:tc>
          <w:tcPr>
            <w:tcW w:w="6978" w:type="dxa"/>
          </w:tcPr>
          <w:p w14:paraId="486032D1" w14:textId="73E96699" w:rsidR="008751B0" w:rsidRDefault="006B42B7">
            <w:r>
              <w:t xml:space="preserve">Establishes </w:t>
            </w:r>
            <w:r>
              <w:t xml:space="preserve">a timetable of 15 days from receipt of a Confirmed Energy Theft Notification for a </w:t>
            </w:r>
            <w:r w:rsidR="00D43099">
              <w:t>User</w:t>
            </w:r>
            <w:r>
              <w:t xml:space="preserve"> to object to it (by raising a Confirmed Energy Theft Objection).</w:t>
            </w:r>
          </w:p>
        </w:tc>
      </w:tr>
      <w:tr w:rsidR="0092036A" w14:paraId="2BDD9ADC" w14:textId="77777777" w:rsidTr="00DF6489">
        <w:tc>
          <w:tcPr>
            <w:tcW w:w="3510" w:type="dxa"/>
          </w:tcPr>
          <w:p w14:paraId="7362490A" w14:textId="77777777" w:rsidR="0092036A" w:rsidRDefault="0092036A"/>
        </w:tc>
        <w:tc>
          <w:tcPr>
            <w:tcW w:w="3686" w:type="dxa"/>
          </w:tcPr>
          <w:p w14:paraId="1C98FF4B" w14:textId="256AE161" w:rsidR="0092036A" w:rsidRDefault="006B42B7">
            <w:r>
              <w:t>New paragraph 14.1.</w:t>
            </w:r>
            <w:r>
              <w:t>7</w:t>
            </w:r>
          </w:p>
        </w:tc>
        <w:tc>
          <w:tcPr>
            <w:tcW w:w="6978" w:type="dxa"/>
          </w:tcPr>
          <w:p w14:paraId="3486A10F" w14:textId="071296DD" w:rsidR="0092036A" w:rsidRDefault="006B42B7">
            <w:r>
              <w:t>Establishes the steps to be taken by CDSP where an Confirmed Energy Theft Objection, compliant with the Code’s requirements, is raised.</w:t>
            </w:r>
          </w:p>
        </w:tc>
      </w:tr>
      <w:tr w:rsidR="006B42B7" w14:paraId="645DAE88" w14:textId="77777777" w:rsidTr="00DF6489">
        <w:tc>
          <w:tcPr>
            <w:tcW w:w="3510" w:type="dxa"/>
          </w:tcPr>
          <w:p w14:paraId="696A0E28" w14:textId="77777777" w:rsidR="006B42B7" w:rsidRDefault="006B42B7"/>
        </w:tc>
        <w:tc>
          <w:tcPr>
            <w:tcW w:w="3686" w:type="dxa"/>
          </w:tcPr>
          <w:p w14:paraId="24ADFAA9" w14:textId="5CAFF2A3" w:rsidR="006B42B7" w:rsidRDefault="006B42B7">
            <w:r>
              <w:t>New paragraph 14.1.</w:t>
            </w:r>
            <w:r>
              <w:t>8</w:t>
            </w:r>
          </w:p>
        </w:tc>
        <w:tc>
          <w:tcPr>
            <w:tcW w:w="6978" w:type="dxa"/>
          </w:tcPr>
          <w:p w14:paraId="4175EEF9" w14:textId="1102AAB1" w:rsidR="006B42B7" w:rsidRDefault="006B42B7">
            <w:r>
              <w:t xml:space="preserve">Establishes the steps to be taken by CDSP where </w:t>
            </w:r>
            <w:r>
              <w:t xml:space="preserve">no </w:t>
            </w:r>
            <w:r>
              <w:t>Confirmed Energy Theft Objection</w:t>
            </w:r>
            <w:r w:rsidR="00D43099">
              <w:t xml:space="preserve"> </w:t>
            </w:r>
            <w:r w:rsidR="00D43099">
              <w:t>compliant with the Code’s requirements is raised.</w:t>
            </w:r>
          </w:p>
        </w:tc>
      </w:tr>
      <w:tr w:rsidR="006B42B7" w14:paraId="4C9D0674" w14:textId="77777777" w:rsidTr="00DF6489">
        <w:tc>
          <w:tcPr>
            <w:tcW w:w="3510" w:type="dxa"/>
          </w:tcPr>
          <w:p w14:paraId="3C6E8CAA" w14:textId="77777777" w:rsidR="006B42B7" w:rsidRDefault="006B42B7"/>
        </w:tc>
        <w:tc>
          <w:tcPr>
            <w:tcW w:w="3686" w:type="dxa"/>
          </w:tcPr>
          <w:p w14:paraId="78171B83" w14:textId="23464998" w:rsidR="006B42B7" w:rsidRDefault="00D43099">
            <w:r>
              <w:t>New paragraph 14.1.</w:t>
            </w:r>
            <w:r>
              <w:t>9</w:t>
            </w:r>
          </w:p>
        </w:tc>
        <w:tc>
          <w:tcPr>
            <w:tcW w:w="6978" w:type="dxa"/>
          </w:tcPr>
          <w:p w14:paraId="0BDB9179" w14:textId="77777777" w:rsidR="00D43099" w:rsidRDefault="00D43099">
            <w:r>
              <w:t>Clarifies:</w:t>
            </w:r>
          </w:p>
          <w:p w14:paraId="714B596E" w14:textId="04B6DB4D" w:rsidR="00D43099" w:rsidRDefault="00D43099" w:rsidP="00D43099">
            <w:pPr>
              <w:pStyle w:val="ListParagraph"/>
              <w:numPr>
                <w:ilvl w:val="0"/>
                <w:numId w:val="1"/>
              </w:numPr>
            </w:pPr>
            <w:r>
              <w:t xml:space="preserve">What the CDSP will and will not make reference to when determining if a </w:t>
            </w:r>
            <w:r>
              <w:t>Confirmed Energy Theft Objection</w:t>
            </w:r>
            <w:r>
              <w:t xml:space="preserve"> </w:t>
            </w:r>
            <w:r>
              <w:t xml:space="preserve">compliant with the Code’s requirements </w:t>
            </w:r>
            <w:r>
              <w:t xml:space="preserve">has been raised.  </w:t>
            </w:r>
          </w:p>
          <w:p w14:paraId="7308B4F3" w14:textId="77777777" w:rsidR="00D43099" w:rsidRDefault="00D43099" w:rsidP="00D43099">
            <w:pPr>
              <w:pStyle w:val="ListParagraph"/>
              <w:numPr>
                <w:ilvl w:val="0"/>
                <w:numId w:val="1"/>
              </w:numPr>
            </w:pPr>
            <w:r>
              <w:t xml:space="preserve">That the CDSP will take on face value any claim made by a </w:t>
            </w:r>
            <w:r>
              <w:t xml:space="preserve">User </w:t>
            </w:r>
            <w:r>
              <w:t xml:space="preserve">that a </w:t>
            </w:r>
            <w:r>
              <w:t xml:space="preserve">Confirmed Energy Theft Notification </w:t>
            </w:r>
            <w:r>
              <w:t>contains a manifest error.</w:t>
            </w:r>
          </w:p>
          <w:p w14:paraId="298774EA" w14:textId="19B013E4" w:rsidR="006B42B7" w:rsidRDefault="00D43099" w:rsidP="00D43099">
            <w:pPr>
              <w:pStyle w:val="ListParagraph"/>
              <w:numPr>
                <w:ilvl w:val="0"/>
                <w:numId w:val="1"/>
              </w:numPr>
            </w:pPr>
            <w:r>
              <w:t xml:space="preserve">What the CDSP will do and not do if a </w:t>
            </w:r>
            <w:r>
              <w:t>Confirmed Energy Theft Objection</w:t>
            </w:r>
            <w:r>
              <w:t xml:space="preserve"> is raised but it is not compliant with the Code’s requirements.</w:t>
            </w:r>
          </w:p>
        </w:tc>
      </w:tr>
      <w:tr w:rsidR="006B42B7" w14:paraId="085BD659" w14:textId="77777777" w:rsidTr="00DF6489">
        <w:tc>
          <w:tcPr>
            <w:tcW w:w="3510" w:type="dxa"/>
          </w:tcPr>
          <w:p w14:paraId="772578B9" w14:textId="77777777" w:rsidR="006B42B7" w:rsidRDefault="006B42B7"/>
        </w:tc>
        <w:tc>
          <w:tcPr>
            <w:tcW w:w="3686" w:type="dxa"/>
          </w:tcPr>
          <w:p w14:paraId="73953D7A" w14:textId="6483D57C" w:rsidR="006B42B7" w:rsidRDefault="00D43099">
            <w:r>
              <w:t>New paragraph 14.1.</w:t>
            </w:r>
            <w:r>
              <w:t>10</w:t>
            </w:r>
          </w:p>
        </w:tc>
        <w:tc>
          <w:tcPr>
            <w:tcW w:w="6978" w:type="dxa"/>
          </w:tcPr>
          <w:p w14:paraId="3F645D4B" w14:textId="7226FA06" w:rsidR="006B42B7" w:rsidRDefault="00D43099">
            <w:r>
              <w:t>Establishes</w:t>
            </w:r>
            <w:r w:rsidR="00A57904">
              <w:t xml:space="preserve"> what, in terms of gas volume allocation, the CDSP will do if </w:t>
            </w:r>
            <w:r w:rsidR="009E6C21">
              <w:t xml:space="preserve">a Confirmed Energy Theft Claim covers </w:t>
            </w:r>
            <w:r w:rsidR="009E6C21">
              <w:t xml:space="preserve">more than one User’s ownership of </w:t>
            </w:r>
            <w:r w:rsidR="009E6C21">
              <w:t xml:space="preserve">the supply meter point to which it relates.  Also clarifies what happens if a Confirmed Energy Theft Objection is received in relation to a </w:t>
            </w:r>
            <w:r w:rsidR="009E6C21">
              <w:t xml:space="preserve">Confirmed Energy Theft Claim </w:t>
            </w:r>
            <w:r w:rsidR="009E6C21">
              <w:t>covering</w:t>
            </w:r>
            <w:r w:rsidR="009E6C21">
              <w:t xml:space="preserve"> more than one User’s ownership of </w:t>
            </w:r>
            <w:r w:rsidR="009E6C21">
              <w:t xml:space="preserve">a </w:t>
            </w:r>
            <w:r w:rsidR="009E6C21">
              <w:t xml:space="preserve">supply </w:t>
            </w:r>
            <w:r w:rsidR="009E6C21">
              <w:t xml:space="preserve">meter </w:t>
            </w:r>
            <w:r w:rsidR="009E6C21">
              <w:t>point</w:t>
            </w:r>
            <w:r w:rsidR="009E6C21">
              <w:t xml:space="preserve">. </w:t>
            </w:r>
          </w:p>
        </w:tc>
      </w:tr>
      <w:tr w:rsidR="009E6C21" w14:paraId="639B7773" w14:textId="77777777" w:rsidTr="00DF6489">
        <w:tc>
          <w:tcPr>
            <w:tcW w:w="3510" w:type="dxa"/>
          </w:tcPr>
          <w:p w14:paraId="3384B4B0" w14:textId="77777777" w:rsidR="009E6C21" w:rsidRDefault="009E6C21"/>
        </w:tc>
        <w:tc>
          <w:tcPr>
            <w:tcW w:w="3686" w:type="dxa"/>
          </w:tcPr>
          <w:p w14:paraId="05148641" w14:textId="11E839F3" w:rsidR="009E6C21" w:rsidRDefault="009E6C21">
            <w:r>
              <w:t>New paragraph 14.1.1</w:t>
            </w:r>
            <w:r>
              <w:t>1</w:t>
            </w:r>
          </w:p>
        </w:tc>
        <w:tc>
          <w:tcPr>
            <w:tcW w:w="6978" w:type="dxa"/>
          </w:tcPr>
          <w:p w14:paraId="7F6F1592" w14:textId="3F4F005F" w:rsidR="009E6C21" w:rsidRDefault="00321AD4">
            <w:r>
              <w:t xml:space="preserve">Establishes a reasonable endeavours obligation on shippers to make gas suppliers aware of suspected thefts the shipper may be aware of.  </w:t>
            </w:r>
          </w:p>
        </w:tc>
      </w:tr>
      <w:tr w:rsidR="009E6C21" w14:paraId="522690B9" w14:textId="77777777" w:rsidTr="00DF6489">
        <w:tc>
          <w:tcPr>
            <w:tcW w:w="3510" w:type="dxa"/>
          </w:tcPr>
          <w:p w14:paraId="0343C063" w14:textId="77777777" w:rsidR="009E6C21" w:rsidRDefault="009E6C21"/>
        </w:tc>
        <w:tc>
          <w:tcPr>
            <w:tcW w:w="3686" w:type="dxa"/>
          </w:tcPr>
          <w:p w14:paraId="5938453E" w14:textId="77777777" w:rsidR="009E6C21" w:rsidRDefault="009E6C21"/>
        </w:tc>
        <w:tc>
          <w:tcPr>
            <w:tcW w:w="6978" w:type="dxa"/>
          </w:tcPr>
          <w:p w14:paraId="5EC54CF7" w14:textId="77777777" w:rsidR="009E6C21" w:rsidRDefault="009E6C21"/>
        </w:tc>
      </w:tr>
      <w:tr w:rsidR="00DF6489" w14:paraId="486032F6" w14:textId="77777777" w:rsidTr="00DF6489">
        <w:tc>
          <w:tcPr>
            <w:tcW w:w="3510" w:type="dxa"/>
          </w:tcPr>
          <w:p w14:paraId="486032F3" w14:textId="4CAF9C46" w:rsidR="00DF6489" w:rsidRDefault="000D3697" w:rsidP="00DF6489">
            <w:pPr>
              <w:rPr>
                <w:b/>
              </w:rPr>
            </w:pPr>
            <w:r>
              <w:rPr>
                <w:b/>
              </w:rPr>
              <w:t>General</w:t>
            </w:r>
          </w:p>
        </w:tc>
        <w:tc>
          <w:tcPr>
            <w:tcW w:w="3686" w:type="dxa"/>
          </w:tcPr>
          <w:p w14:paraId="486032F4" w14:textId="77777777" w:rsidR="00DF6489" w:rsidRDefault="00DF6489" w:rsidP="00DF6489"/>
        </w:tc>
        <w:tc>
          <w:tcPr>
            <w:tcW w:w="6978" w:type="dxa"/>
          </w:tcPr>
          <w:p w14:paraId="486032F5" w14:textId="77777777" w:rsidR="00DF6489" w:rsidRDefault="00DF6489" w:rsidP="00DF6489"/>
        </w:tc>
      </w:tr>
      <w:tr w:rsidR="00DF6489" w14:paraId="486032FA" w14:textId="77777777" w:rsidTr="00DF6489">
        <w:tc>
          <w:tcPr>
            <w:tcW w:w="3510" w:type="dxa"/>
          </w:tcPr>
          <w:p w14:paraId="486032F7" w14:textId="3832AFCF" w:rsidR="00DF6489" w:rsidRDefault="008C7BCF" w:rsidP="008C7BCF">
            <w:pPr>
              <w:jc w:val="distribute"/>
            </w:pPr>
            <w:r>
              <w:rPr>
                <w:b/>
              </w:rPr>
              <w:t>2</w:t>
            </w:r>
            <w:r w:rsidR="008C34EF">
              <w:rPr>
                <w:b/>
              </w:rPr>
              <w:t>1</w:t>
            </w:r>
            <w:r>
              <w:rPr>
                <w:b/>
              </w:rPr>
              <w:t xml:space="preserve"> June</w:t>
            </w:r>
            <w:r w:rsidR="000D3697" w:rsidRPr="000D3697">
              <w:rPr>
                <w:b/>
              </w:rPr>
              <w:t xml:space="preserve"> 202</w:t>
            </w:r>
            <w:r w:rsidR="008C34EF">
              <w:rPr>
                <w:b/>
              </w:rPr>
              <w:t>1</w:t>
            </w:r>
            <w:r w:rsidR="000D3697" w:rsidRPr="000D3697">
              <w:rPr>
                <w:b/>
              </w:rPr>
              <w:t xml:space="preserve"> Defined Terms Listing</w:t>
            </w:r>
          </w:p>
        </w:tc>
        <w:tc>
          <w:tcPr>
            <w:tcW w:w="3686" w:type="dxa"/>
          </w:tcPr>
          <w:p w14:paraId="486032F8" w14:textId="1917EFB4" w:rsidR="00DF6489" w:rsidRDefault="00321AD4" w:rsidP="00DF6489">
            <w:r>
              <w:t>New defined terms included</w:t>
            </w:r>
          </w:p>
        </w:tc>
        <w:tc>
          <w:tcPr>
            <w:tcW w:w="6978" w:type="dxa"/>
          </w:tcPr>
          <w:p w14:paraId="486032F9" w14:textId="70BC987A" w:rsidR="00DF6489" w:rsidRDefault="00321AD4" w:rsidP="00321AD4">
            <w:r>
              <w:t xml:space="preserve">New defined terms of </w:t>
            </w:r>
            <w:r>
              <w:t>Confirmed Energy Theft</w:t>
            </w:r>
            <w:r>
              <w:t xml:space="preserve">, </w:t>
            </w:r>
            <w:r>
              <w:t xml:space="preserve">Confirmed Energy Theft </w:t>
            </w:r>
            <w:r>
              <w:lastRenderedPageBreak/>
              <w:t>Claim</w:t>
            </w:r>
            <w:r>
              <w:t xml:space="preserve">, </w:t>
            </w:r>
            <w:r>
              <w:t>Confirmed Energy Theft Correction</w:t>
            </w:r>
            <w:r>
              <w:t xml:space="preserve">, </w:t>
            </w:r>
            <w:r>
              <w:t>Confirmed Energy Theft Notification</w:t>
            </w:r>
            <w:r>
              <w:t xml:space="preserve">, </w:t>
            </w:r>
            <w:r>
              <w:t>Confirmed Energy Theft Objection</w:t>
            </w:r>
            <w:r w:rsidR="00C45FC3">
              <w:t xml:space="preserve">, RECCo, and Theft Energy Value </w:t>
            </w:r>
            <w:r>
              <w:t>included</w:t>
            </w:r>
            <w:r w:rsidR="00C45FC3">
              <w:t>.</w:t>
            </w:r>
          </w:p>
        </w:tc>
      </w:tr>
      <w:tr w:rsidR="008751B0" w14:paraId="486032FE" w14:textId="77777777" w:rsidTr="00DF6489">
        <w:tc>
          <w:tcPr>
            <w:tcW w:w="3510" w:type="dxa"/>
          </w:tcPr>
          <w:p w14:paraId="486032FB" w14:textId="3A6A3AF6" w:rsidR="008751B0" w:rsidRDefault="008751B0">
            <w:pPr>
              <w:rPr>
                <w:b/>
              </w:rPr>
            </w:pPr>
          </w:p>
        </w:tc>
        <w:tc>
          <w:tcPr>
            <w:tcW w:w="3686" w:type="dxa"/>
          </w:tcPr>
          <w:p w14:paraId="486032FC" w14:textId="0E4437A5" w:rsidR="008751B0" w:rsidRDefault="00C45FC3">
            <w:r>
              <w:t>Change to cross reference provided for definition of “DNO TOG Report”</w:t>
            </w:r>
          </w:p>
        </w:tc>
        <w:tc>
          <w:tcPr>
            <w:tcW w:w="6978" w:type="dxa"/>
          </w:tcPr>
          <w:p w14:paraId="486032FD" w14:textId="4F0BDB37" w:rsidR="008751B0" w:rsidRDefault="00C45FC3">
            <w:r>
              <w:t>Consequential change as a result of UNC 734S</w:t>
            </w:r>
          </w:p>
        </w:tc>
      </w:tr>
      <w:tr w:rsidR="00C45FC3" w14:paraId="0CE28D5C" w14:textId="77777777" w:rsidTr="00DF6489">
        <w:tc>
          <w:tcPr>
            <w:tcW w:w="3510" w:type="dxa"/>
          </w:tcPr>
          <w:p w14:paraId="198D6FF7" w14:textId="77777777" w:rsidR="00C45FC3" w:rsidRDefault="00C45FC3">
            <w:pPr>
              <w:rPr>
                <w:b/>
              </w:rPr>
            </w:pPr>
          </w:p>
        </w:tc>
        <w:tc>
          <w:tcPr>
            <w:tcW w:w="3686" w:type="dxa"/>
          </w:tcPr>
          <w:p w14:paraId="620D1C1D" w14:textId="00BA42B9" w:rsidR="00C45FC3" w:rsidRDefault="00C45FC3">
            <w:r>
              <w:t>Change to cross reference provided for definition of “</w:t>
            </w:r>
            <w:r>
              <w:t>Reconciliation Close-Out</w:t>
            </w:r>
            <w:r>
              <w:t>”</w:t>
            </w:r>
          </w:p>
        </w:tc>
        <w:tc>
          <w:tcPr>
            <w:tcW w:w="6978" w:type="dxa"/>
          </w:tcPr>
          <w:p w14:paraId="2BFC6605" w14:textId="7D1AEDDE" w:rsidR="00C45FC3" w:rsidRDefault="00C45FC3">
            <w:r>
              <w:t>Not a consequence of UNC 734S.  Add to future housekeeping modification list?</w:t>
            </w:r>
          </w:p>
        </w:tc>
      </w:tr>
      <w:tr w:rsidR="00C45FC3" w14:paraId="5810236C" w14:textId="77777777" w:rsidTr="00DF6489">
        <w:tc>
          <w:tcPr>
            <w:tcW w:w="3510" w:type="dxa"/>
          </w:tcPr>
          <w:p w14:paraId="5C6F981A" w14:textId="77777777" w:rsidR="00C45FC3" w:rsidRDefault="00C45FC3">
            <w:pPr>
              <w:rPr>
                <w:b/>
              </w:rPr>
            </w:pPr>
          </w:p>
        </w:tc>
        <w:tc>
          <w:tcPr>
            <w:tcW w:w="3686" w:type="dxa"/>
          </w:tcPr>
          <w:p w14:paraId="402B0F1D" w14:textId="05D6D864" w:rsidR="00C45FC3" w:rsidRDefault="00C45FC3">
            <w:r>
              <w:t>Change to cross reference provided for definition of “</w:t>
            </w:r>
            <w:r>
              <w:t>reporting month</w:t>
            </w:r>
            <w:r>
              <w:t>”</w:t>
            </w:r>
          </w:p>
        </w:tc>
        <w:tc>
          <w:tcPr>
            <w:tcW w:w="6978" w:type="dxa"/>
          </w:tcPr>
          <w:p w14:paraId="4EEF9411" w14:textId="0D244B46" w:rsidR="00C45FC3" w:rsidRDefault="00C45FC3">
            <w:r>
              <w:t>Not a consequence of UNC 734S.  Add to future housekeeping modification list?</w:t>
            </w:r>
          </w:p>
        </w:tc>
      </w:tr>
      <w:tr w:rsidR="00C45FC3" w14:paraId="4513B1B7" w14:textId="77777777" w:rsidTr="00DF6489">
        <w:tc>
          <w:tcPr>
            <w:tcW w:w="3510" w:type="dxa"/>
          </w:tcPr>
          <w:p w14:paraId="2C835071" w14:textId="77777777" w:rsidR="00C45FC3" w:rsidRDefault="00C45FC3" w:rsidP="00C45FC3">
            <w:pPr>
              <w:rPr>
                <w:b/>
              </w:rPr>
            </w:pPr>
          </w:p>
        </w:tc>
        <w:tc>
          <w:tcPr>
            <w:tcW w:w="3686" w:type="dxa"/>
          </w:tcPr>
          <w:p w14:paraId="44B1D644" w14:textId="00CDAC47" w:rsidR="00C45FC3" w:rsidRDefault="00C45FC3" w:rsidP="00C45FC3">
            <w:r>
              <w:t>Change to cross reference provided for definition of “</w:t>
            </w:r>
            <w:r>
              <w:t>Shipper</w:t>
            </w:r>
            <w:r>
              <w:t xml:space="preserve"> TOG Report”</w:t>
            </w:r>
          </w:p>
        </w:tc>
        <w:tc>
          <w:tcPr>
            <w:tcW w:w="6978" w:type="dxa"/>
          </w:tcPr>
          <w:p w14:paraId="7575D906" w14:textId="5E6A69E9" w:rsidR="00C45FC3" w:rsidRDefault="00C45FC3" w:rsidP="00C45FC3">
            <w:r>
              <w:t>Consequential change as a result of UNC 734S</w:t>
            </w:r>
          </w:p>
        </w:tc>
      </w:tr>
    </w:tbl>
    <w:p w14:paraId="4860330F" w14:textId="77777777" w:rsidR="008751B0" w:rsidRDefault="008751B0"/>
    <w:sectPr w:rsidR="008751B0">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49AEA" w14:textId="77777777" w:rsidR="00553454" w:rsidRDefault="00553454" w:rsidP="00553454">
      <w:pPr>
        <w:spacing w:after="0" w:line="240" w:lineRule="auto"/>
      </w:pPr>
      <w:r>
        <w:separator/>
      </w:r>
    </w:p>
  </w:endnote>
  <w:endnote w:type="continuationSeparator" w:id="0">
    <w:p w14:paraId="71608A11" w14:textId="77777777" w:rsidR="00553454" w:rsidRDefault="00553454" w:rsidP="0055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01A83" w14:textId="03ED764D" w:rsidR="00553454" w:rsidRDefault="00553454">
    <w:pPr>
      <w:pStyle w:val="Footer"/>
    </w:pPr>
    <w:r>
      <w:rPr>
        <w:noProof/>
      </w:rPr>
      <mc:AlternateContent>
        <mc:Choice Requires="wps">
          <w:drawing>
            <wp:anchor distT="0" distB="0" distL="114300" distR="114300" simplePos="0" relativeHeight="251657216" behindDoc="0" locked="0" layoutInCell="0" allowOverlap="1" wp14:anchorId="47E011EF" wp14:editId="4D9C65F1">
              <wp:simplePos x="0" y="0"/>
              <wp:positionH relativeFrom="page">
                <wp:posOffset>0</wp:posOffset>
              </wp:positionH>
              <wp:positionV relativeFrom="page">
                <wp:posOffset>7096125</wp:posOffset>
              </wp:positionV>
              <wp:extent cx="10692130" cy="273050"/>
              <wp:effectExtent l="0" t="0" r="0" b="12700"/>
              <wp:wrapNone/>
              <wp:docPr id="1" name="MSIPCM035c446496b35b858a208863" descr="{&quot;HashCode&quot;:2051471737,&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70E477" w14:textId="0E326E18" w:rsidR="00553454" w:rsidRPr="00553454" w:rsidRDefault="00553454" w:rsidP="00553454">
                          <w:pPr>
                            <w:spacing w:after="0"/>
                            <w:rPr>
                              <w:rFonts w:ascii="Calibri" w:hAnsi="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E011EF" id="_x0000_t202" coordsize="21600,21600" o:spt="202" path="m,l,21600r21600,l21600,xe">
              <v:stroke joinstyle="miter"/>
              <v:path gradientshapeok="t" o:connecttype="rect"/>
            </v:shapetype>
            <v:shape id="MSIPCM035c446496b35b858a208863" o:spid="_x0000_s1027" type="#_x0000_t202" alt="{&quot;HashCode&quot;:2051471737,&quot;Height&quot;:595.0,&quot;Width&quot;:841.0,&quot;Placement&quot;:&quot;Footer&quot;,&quot;Index&quot;:&quot;Primary&quot;,&quot;Section&quot;:1,&quot;Top&quot;:0.0,&quot;Left&quot;:0.0}" style="position:absolute;margin-left:0;margin-top:558.75pt;width:841.9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" o:allowincell="f" filled="f" stroked="f" strokeweight=".5pt">
              <v:textbox inset="20pt,0,,0">
                <w:txbxContent>
                  <w:p w14:paraId="1F70E477" w14:textId="0E326E18" w:rsidR="00553454" w:rsidRPr="00553454" w:rsidRDefault="00553454" w:rsidP="00553454">
                    <w:pPr>
                      <w:spacing w:after="0"/>
                      <w:rPr>
                        <w:rFonts w:ascii="Calibri" w:hAnsi="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2992A" w14:textId="77777777" w:rsidR="00553454" w:rsidRDefault="00553454" w:rsidP="00553454">
      <w:pPr>
        <w:spacing w:after="0" w:line="240" w:lineRule="auto"/>
      </w:pPr>
      <w:r>
        <w:separator/>
      </w:r>
    </w:p>
  </w:footnote>
  <w:footnote w:type="continuationSeparator" w:id="0">
    <w:p w14:paraId="5A965AB2" w14:textId="77777777" w:rsidR="00553454" w:rsidRDefault="00553454" w:rsidP="00553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8459E" w14:textId="4EB182DA" w:rsidR="007B4FD6" w:rsidRDefault="00C45FC3">
    <w:pPr>
      <w:pStyle w:val="Header"/>
    </w:pPr>
    <w:r>
      <w:rPr>
        <w:noProof/>
      </w:rPr>
      <mc:AlternateContent>
        <mc:Choice Requires="wps">
          <w:drawing>
            <wp:anchor distT="0" distB="0" distL="114300" distR="114300" simplePos="0" relativeHeight="251659264" behindDoc="0" locked="0" layoutInCell="0" allowOverlap="1" wp14:anchorId="0AF5C63B" wp14:editId="2AB8A459">
              <wp:simplePos x="0" y="0"/>
              <wp:positionH relativeFrom="page">
                <wp:posOffset>0</wp:posOffset>
              </wp:positionH>
              <wp:positionV relativeFrom="page">
                <wp:posOffset>190500</wp:posOffset>
              </wp:positionV>
              <wp:extent cx="10692130" cy="273050"/>
              <wp:effectExtent l="0" t="0" r="0" b="12700"/>
              <wp:wrapNone/>
              <wp:docPr id="2" name="MSIPCMa8ae42e1a9e94ab3f21b1b50" descr="{&quot;HashCode&quot;:2027334168,&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42123E" w14:textId="2F5D911E" w:rsidR="00C45FC3" w:rsidRPr="00C45FC3" w:rsidRDefault="00C45FC3" w:rsidP="00C45FC3">
                          <w:pPr>
                            <w:spacing w:after="0"/>
                            <w:rPr>
                              <w:rFonts w:ascii="Calibri" w:hAnsi="Calibri" w:cs="Calibri"/>
                              <w:color w:val="000000"/>
                              <w:sz w:val="20"/>
                            </w:rPr>
                          </w:pPr>
                          <w:r w:rsidRPr="00C45FC3">
                            <w:rPr>
                              <w:rFonts w:ascii="Calibri" w:hAnsi="Calibri" w:cs="Calibri"/>
                              <w:color w:val="000000"/>
                              <w:sz w:val="20"/>
                            </w:rPr>
                            <w:t>Classified as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AF5C63B" id="_x0000_t202" coordsize="21600,21600" o:spt="202" path="m,l,21600r21600,l21600,xe">
              <v:stroke joinstyle="miter"/>
              <v:path gradientshapeok="t" o:connecttype="rect"/>
            </v:shapetype>
            <v:shape id="MSIPCMa8ae42e1a9e94ab3f21b1b50" o:spid="_x0000_s1026" type="#_x0000_t202" alt="{&quot;HashCode&quot;:2027334168,&quot;Height&quot;:595.0,&quot;Width&quot;:841.0,&quot;Placement&quot;:&quot;Header&quot;,&quot;Index&quot;:&quot;Primary&quot;,&quot;Section&quot;:1,&quot;Top&quot;:0.0,&quot;Left&quot;:0.0}" style="position:absolute;margin-left:0;margin-top:1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" o:allowincell="f" filled="f" stroked="f" strokeweight=".5pt">
              <v:fill o:detectmouseclick="t"/>
              <v:textbox inset="20pt,0,,0">
                <w:txbxContent>
                  <w:p w14:paraId="2742123E" w14:textId="2F5D911E" w:rsidR="00C45FC3" w:rsidRPr="00C45FC3" w:rsidRDefault="00C45FC3" w:rsidP="00C45FC3">
                    <w:pPr>
                      <w:spacing w:after="0"/>
                      <w:rPr>
                        <w:rFonts w:ascii="Calibri" w:hAnsi="Calibri" w:cs="Calibri"/>
                        <w:color w:val="000000"/>
                        <w:sz w:val="20"/>
                      </w:rPr>
                    </w:pPr>
                    <w:r w:rsidRPr="00C45FC3">
                      <w:rPr>
                        <w:rFonts w:ascii="Calibri" w:hAnsi="Calibri" w:cs="Calibri"/>
                        <w:color w:val="000000"/>
                        <w:sz w:val="20"/>
                      </w:rPr>
                      <w:t>Classified as 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972D4"/>
    <w:multiLevelType w:val="hybridMultilevel"/>
    <w:tmpl w:val="E474F0BC"/>
    <w:lvl w:ilvl="0" w:tplc="B94E88BA">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1B0"/>
    <w:rsid w:val="000D3697"/>
    <w:rsid w:val="00150F4E"/>
    <w:rsid w:val="001675DA"/>
    <w:rsid w:val="00176488"/>
    <w:rsid w:val="00253C3D"/>
    <w:rsid w:val="00321AD4"/>
    <w:rsid w:val="0047560A"/>
    <w:rsid w:val="00553454"/>
    <w:rsid w:val="005C3B0B"/>
    <w:rsid w:val="005E676D"/>
    <w:rsid w:val="006110F3"/>
    <w:rsid w:val="006B42B7"/>
    <w:rsid w:val="0075055D"/>
    <w:rsid w:val="0076197B"/>
    <w:rsid w:val="007B4FD6"/>
    <w:rsid w:val="008751B0"/>
    <w:rsid w:val="00896FCB"/>
    <w:rsid w:val="008C34EF"/>
    <w:rsid w:val="008C7BCF"/>
    <w:rsid w:val="0092036A"/>
    <w:rsid w:val="009823ED"/>
    <w:rsid w:val="009E6C21"/>
    <w:rsid w:val="00A57904"/>
    <w:rsid w:val="00C45FC3"/>
    <w:rsid w:val="00D43099"/>
    <w:rsid w:val="00D72BDD"/>
    <w:rsid w:val="00D81512"/>
    <w:rsid w:val="00DF6489"/>
    <w:rsid w:val="00E319A1"/>
    <w:rsid w:val="00ED1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6032C1"/>
  <w15:docId w15:val="{028E385C-0D26-443E-9099-056D8F53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style>
  <w:style w:type="character" w:customStyle="1" w:styleId="Style1Char">
    <w:name w:val="Style1 Char"/>
    <w:basedOn w:val="DefaultParagraphFont"/>
    <w:link w:val="Style1"/>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3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454"/>
  </w:style>
  <w:style w:type="paragraph" w:styleId="Footer">
    <w:name w:val="footer"/>
    <w:basedOn w:val="Normal"/>
    <w:link w:val="FooterChar"/>
    <w:uiPriority w:val="99"/>
    <w:unhideWhenUsed/>
    <w:rsid w:val="00553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454"/>
  </w:style>
  <w:style w:type="paragraph" w:styleId="BalloonText">
    <w:name w:val="Balloon Text"/>
    <w:basedOn w:val="Normal"/>
    <w:link w:val="BalloonTextChar"/>
    <w:uiPriority w:val="99"/>
    <w:semiHidden/>
    <w:unhideWhenUsed/>
    <w:rsid w:val="000D3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697"/>
    <w:rPr>
      <w:rFonts w:ascii="Segoe UI" w:hAnsi="Segoe UI" w:cs="Segoe UI"/>
      <w:sz w:val="18"/>
      <w:szCs w:val="18"/>
    </w:rPr>
  </w:style>
  <w:style w:type="paragraph" w:styleId="ListParagraph">
    <w:name w:val="List Paragraph"/>
    <w:basedOn w:val="Normal"/>
    <w:uiPriority w:val="34"/>
    <w:qFormat/>
    <w:rsid w:val="00D43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021FE4EE17B41A5E67D1EB75DD99E" ma:contentTypeVersion="12" ma:contentTypeDescription="Create a new document." ma:contentTypeScope="" ma:versionID="b000c2fcafc5bbf3c949d1948fb1d4f2">
  <xsd:schema xmlns:xsd="http://www.w3.org/2001/XMLSchema" xmlns:xs="http://www.w3.org/2001/XMLSchema" xmlns:p="http://schemas.microsoft.com/office/2006/metadata/properties" xmlns:ns2="ca249c35-2c41-4717-8384-495d9b737fa7" xmlns:ns3="3ee84ff3-1fa2-4b0e-bbc1-9d3729ac2ba9" targetNamespace="http://schemas.microsoft.com/office/2006/metadata/properties" ma:root="true" ma:fieldsID="4ae753b67a08d4a3f901ce7fe17d642d" ns2:_="" ns3:_="">
    <xsd:import namespace="ca249c35-2c41-4717-8384-495d9b737fa7"/>
    <xsd:import namespace="3ee84ff3-1fa2-4b0e-bbc1-9d3729ac2b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49c35-2c41-4717-8384-495d9b73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a249c35-2c41-4717-8384-495d9b737fa7" xsi:nil="true"/>
  </documentManagement>
</p:properties>
</file>

<file path=customXml/itemProps1.xml><?xml version="1.0" encoding="utf-8"?>
<ds:datastoreItem xmlns:ds="http://schemas.openxmlformats.org/officeDocument/2006/customXml" ds:itemID="{8618A0DF-2FFA-4468-A75B-B3B70F204DB0}"/>
</file>

<file path=customXml/itemProps2.xml><?xml version="1.0" encoding="utf-8"?>
<ds:datastoreItem xmlns:ds="http://schemas.openxmlformats.org/officeDocument/2006/customXml" ds:itemID="{86EE47F5-8666-489B-B9A1-221C1332C30E}"/>
</file>

<file path=customXml/itemProps3.xml><?xml version="1.0" encoding="utf-8"?>
<ds:datastoreItem xmlns:ds="http://schemas.openxmlformats.org/officeDocument/2006/customXml" ds:itemID="{607E82FB-8B6C-4636-9A1D-2B9C440D6D9A}"/>
</file>

<file path=docProps/app.xml><?xml version="1.0" encoding="utf-8"?>
<Properties xmlns="http://schemas.openxmlformats.org/officeDocument/2006/extended-properties" xmlns:vt="http://schemas.openxmlformats.org/officeDocument/2006/docPropsVTypes">
  <Template>Normal</Template>
  <TotalTime>253</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Dentons</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Dentons</dc:creator>
  <cp:keywords/>
  <dc:description/>
  <cp:lastModifiedBy>SGN1</cp:lastModifiedBy>
  <cp:revision>11</cp:revision>
  <cp:lastPrinted>2019-03-11T10:33:00Z</cp:lastPrinted>
  <dcterms:created xsi:type="dcterms:W3CDTF">2020-05-12T12:27:00Z</dcterms:created>
  <dcterms:modified xsi:type="dcterms:W3CDTF">2021-10-04T15:53:00Z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73dd0b-afe1-4a46-943f-1bdb914b8a49_Enabled">
    <vt:lpwstr>true</vt:lpwstr>
  </property>
  <property fmtid="{D5CDD505-2E9C-101B-9397-08002B2CF9AE}" pid="3" name="MSIP_Label_2b73dd0b-afe1-4a46-943f-1bdb914b8a49_SetDate">
    <vt:lpwstr>2020-05-06T10:50:17Z</vt:lpwstr>
  </property>
  <property fmtid="{D5CDD505-2E9C-101B-9397-08002B2CF9AE}" pid="4" name="MSIP_Label_2b73dd0b-afe1-4a46-943f-1bdb914b8a49_Method">
    <vt:lpwstr>Standard</vt:lpwstr>
  </property>
  <property fmtid="{D5CDD505-2E9C-101B-9397-08002B2CF9AE}" pid="5" name="MSIP_Label_2b73dd0b-afe1-4a46-943f-1bdb914b8a49_Name">
    <vt:lpwstr>Internal</vt:lpwstr>
  </property>
  <property fmtid="{D5CDD505-2E9C-101B-9397-08002B2CF9AE}" pid="6" name="MSIP_Label_2b73dd0b-afe1-4a46-943f-1bdb914b8a49_SiteId">
    <vt:lpwstr>b9563cbc-9874-41ab-b448-7e0f61aff3eb</vt:lpwstr>
  </property>
  <property fmtid="{D5CDD505-2E9C-101B-9397-08002B2CF9AE}" pid="7" name="MSIP_Label_2b73dd0b-afe1-4a46-943f-1bdb914b8a49_ActionId">
    <vt:lpwstr>7b4cc1a2-ae7a-4e61-bebe-00001493be24</vt:lpwstr>
  </property>
  <property fmtid="{D5CDD505-2E9C-101B-9397-08002B2CF9AE}" pid="8" name="MSIP_Label_2b73dd0b-afe1-4a46-943f-1bdb914b8a49_ContentBits">
    <vt:lpwstr>2</vt:lpwstr>
  </property>
  <property fmtid="{D5CDD505-2E9C-101B-9397-08002B2CF9AE}" pid="9" name="DOC_GUID">
    <vt:lpwstr>8e22658f-fe41-408d-87c2-8759bc5682a8</vt:lpwstr>
  </property>
  <property fmtid="{D5CDD505-2E9C-101B-9397-08002B2CF9AE}" pid="10" name="ContentTypeId">
    <vt:lpwstr>0x0101008A4021FE4EE17B41A5E67D1EB75DD99E</vt:lpwstr>
  </property>
</Properties>
</file>