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F2" w:rsidRDefault="00913EF2"/>
    <w:p w:rsidR="00913EF2" w:rsidRDefault="00913EF2" w:rsidP="00913EF2">
      <w:pPr>
        <w:ind w:firstLine="720"/>
      </w:pPr>
      <w:r>
        <w:rPr>
          <w:noProof/>
          <w:lang w:eastAsia="en-GB"/>
        </w:rPr>
        <w:drawing>
          <wp:inline distT="0" distB="0" distL="0" distR="0" wp14:anchorId="0EF8426A" wp14:editId="651893E1">
            <wp:extent cx="4585335" cy="2688590"/>
            <wp:effectExtent l="0" t="0" r="5715" b="0"/>
            <wp:docPr id="1" name="Picture 1" descr="C:\Users\david.turvey\Desktop\XoserveLogoApps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5335" cy="2688590"/>
                    </a:xfrm>
                    <a:prstGeom prst="rect">
                      <a:avLst/>
                    </a:prstGeom>
                    <a:noFill/>
                    <a:ln>
                      <a:noFill/>
                    </a:ln>
                  </pic:spPr>
                </pic:pic>
              </a:graphicData>
            </a:graphic>
          </wp:inline>
        </w:drawing>
      </w:r>
    </w:p>
    <w:p w:rsidR="00913EF2" w:rsidRDefault="00913EF2" w:rsidP="00913EF2">
      <w:pPr>
        <w:ind w:firstLine="720"/>
      </w:pPr>
    </w:p>
    <w:p w:rsidR="00913EF2" w:rsidRDefault="001345FB" w:rsidP="00913EF2">
      <w:pPr>
        <w:spacing w:after="0" w:line="240" w:lineRule="auto"/>
        <w:jc w:val="center"/>
        <w:rPr>
          <w:rFonts w:ascii="Avenir LT Std 65 Medium" w:hAnsi="Avenir LT Std 65 Medium"/>
          <w:b/>
          <w:color w:val="3E5AA8"/>
          <w:sz w:val="48"/>
          <w:szCs w:val="48"/>
        </w:rPr>
      </w:pPr>
      <w:r>
        <w:rPr>
          <w:rFonts w:ascii="Avenir LT Std 65 Medium" w:hAnsi="Avenir LT Std 65 Medium"/>
          <w:b/>
          <w:color w:val="3E5AA8"/>
          <w:sz w:val="72"/>
          <w:szCs w:val="96"/>
        </w:rPr>
        <w:t>Central Data Services Provider</w:t>
      </w:r>
      <w:r>
        <w:rPr>
          <w:rFonts w:ascii="Avenir LT Std 65 Medium" w:hAnsi="Avenir LT Std 65 Medium"/>
          <w:b/>
          <w:color w:val="3E5AA8"/>
          <w:sz w:val="72"/>
          <w:szCs w:val="96"/>
        </w:rPr>
        <w:br/>
      </w:r>
      <w:r w:rsidRPr="001345FB">
        <w:rPr>
          <w:rFonts w:ascii="Avenir LT Std 65 Medium" w:hAnsi="Avenir LT Std 65 Medium"/>
          <w:b/>
          <w:color w:val="3E5AA8"/>
          <w:sz w:val="48"/>
          <w:szCs w:val="48"/>
        </w:rPr>
        <w:t>Accession to Uniform Network Code and Data Services Contract</w:t>
      </w:r>
    </w:p>
    <w:p w:rsidR="001345FB" w:rsidRPr="001345FB" w:rsidRDefault="001345FB" w:rsidP="00913EF2">
      <w:pPr>
        <w:spacing w:after="0" w:line="240" w:lineRule="auto"/>
        <w:jc w:val="center"/>
        <w:rPr>
          <w:rFonts w:ascii="Avenir LT Std 65 Medium" w:hAnsi="Avenir LT Std 65 Medium"/>
          <w:b/>
          <w:color w:val="3E5AA8"/>
          <w:sz w:val="40"/>
          <w:szCs w:val="40"/>
        </w:rPr>
      </w:pPr>
      <w:r w:rsidRPr="001345FB">
        <w:rPr>
          <w:rFonts w:ascii="Avenir LT Std 65 Medium" w:hAnsi="Avenir LT Std 65 Medium"/>
          <w:b/>
          <w:color w:val="3E5AA8"/>
          <w:sz w:val="40"/>
          <w:szCs w:val="40"/>
        </w:rPr>
        <w:t>Information for Independent Gas Transporters</w:t>
      </w:r>
    </w:p>
    <w:p w:rsidR="00913EF2" w:rsidRDefault="00913EF2" w:rsidP="00913EF2">
      <w:pPr>
        <w:spacing w:after="0" w:line="240" w:lineRule="auto"/>
        <w:jc w:val="center"/>
        <w:rPr>
          <w:rFonts w:ascii="Avenir LT Std 65 Medium" w:hAnsi="Avenir LT Std 65 Medium"/>
          <w:b/>
          <w:color w:val="84B8DA"/>
          <w:sz w:val="48"/>
          <w:szCs w:val="96"/>
        </w:rPr>
      </w:pPr>
      <w:r w:rsidRPr="000E3F7A">
        <w:rPr>
          <w:rFonts w:ascii="Avenir LT Std 65 Medium" w:hAnsi="Avenir LT Std 65 Medium"/>
          <w:b/>
          <w:color w:val="84B8DA"/>
          <w:sz w:val="48"/>
          <w:szCs w:val="96"/>
        </w:rPr>
        <w:t>Version 1.0</w:t>
      </w:r>
    </w:p>
    <w:p w:rsidR="00913EF2" w:rsidRDefault="001345FB" w:rsidP="00913EF2">
      <w:pPr>
        <w:spacing w:after="0" w:line="240" w:lineRule="auto"/>
        <w:jc w:val="center"/>
        <w:rPr>
          <w:rFonts w:ascii="Avenir LT Std 65 Medium" w:hAnsi="Avenir LT Std 65 Medium"/>
          <w:b/>
          <w:color w:val="84B8DA"/>
          <w:sz w:val="32"/>
          <w:szCs w:val="32"/>
        </w:rPr>
      </w:pPr>
      <w:r>
        <w:rPr>
          <w:rFonts w:ascii="Avenir LT Std 65 Medium" w:hAnsi="Avenir LT Std 65 Medium"/>
          <w:b/>
          <w:color w:val="84B8DA"/>
          <w:sz w:val="32"/>
          <w:szCs w:val="32"/>
        </w:rPr>
        <w:t>20</w:t>
      </w:r>
      <w:r w:rsidRPr="001345FB">
        <w:rPr>
          <w:rFonts w:ascii="Avenir LT Std 65 Medium" w:hAnsi="Avenir LT Std 65 Medium"/>
          <w:b/>
          <w:color w:val="84B8DA"/>
          <w:sz w:val="32"/>
          <w:szCs w:val="32"/>
          <w:vertAlign w:val="superscript"/>
        </w:rPr>
        <w:t>th</w:t>
      </w:r>
      <w:r>
        <w:rPr>
          <w:rFonts w:ascii="Avenir LT Std 65 Medium" w:hAnsi="Avenir LT Std 65 Medium"/>
          <w:b/>
          <w:color w:val="84B8DA"/>
          <w:sz w:val="32"/>
          <w:szCs w:val="32"/>
        </w:rPr>
        <w:t xml:space="preserve"> April 2017</w:t>
      </w:r>
    </w:p>
    <w:p w:rsidR="001345FB" w:rsidRDefault="001345FB" w:rsidP="00913EF2">
      <w:pPr>
        <w:spacing w:after="0" w:line="240" w:lineRule="auto"/>
        <w:jc w:val="center"/>
        <w:rPr>
          <w:rFonts w:ascii="Avenir LT Std 65 Medium" w:hAnsi="Avenir LT Std 65 Medium"/>
          <w:b/>
          <w:color w:val="84B8DA"/>
          <w:sz w:val="32"/>
          <w:szCs w:val="32"/>
        </w:rPr>
      </w:pPr>
    </w:p>
    <w:p w:rsidR="001345FB" w:rsidRPr="001345FB" w:rsidRDefault="001345FB" w:rsidP="00913EF2">
      <w:pPr>
        <w:spacing w:after="0" w:line="240" w:lineRule="auto"/>
        <w:jc w:val="center"/>
        <w:rPr>
          <w:b/>
          <w:sz w:val="28"/>
          <w:szCs w:val="28"/>
        </w:rPr>
      </w:pPr>
      <w:r w:rsidRPr="001345FB">
        <w:rPr>
          <w:rFonts w:ascii="Avenir LT Std 35 Light" w:hAnsi="Avenir LT Std 35 Light"/>
          <w:b/>
          <w:sz w:val="28"/>
          <w:szCs w:val="28"/>
        </w:rPr>
        <w:t>The information in this document is for information purposes only and not for the purpose of providing legal or any other advice.</w:t>
      </w:r>
    </w:p>
    <w:p w:rsidR="001345FB" w:rsidRPr="001345FB" w:rsidRDefault="001345FB" w:rsidP="001345FB"/>
    <w:p w:rsidR="001345FB" w:rsidRPr="00987938" w:rsidRDefault="001345FB" w:rsidP="001345FB">
      <w:pPr>
        <w:pBdr>
          <w:top w:val="single" w:sz="4" w:space="1" w:color="auto"/>
          <w:left w:val="single" w:sz="4" w:space="4" w:color="auto"/>
          <w:bottom w:val="single" w:sz="4" w:space="1" w:color="auto"/>
          <w:right w:val="single" w:sz="4" w:space="4" w:color="auto"/>
        </w:pBdr>
        <w:jc w:val="center"/>
        <w:rPr>
          <w:rFonts w:cs="Arial"/>
          <w:b/>
          <w:i/>
          <w:color w:val="000000" w:themeColor="text1"/>
        </w:rPr>
      </w:pPr>
      <w:r w:rsidRPr="00987938">
        <w:rPr>
          <w:rFonts w:cs="Arial"/>
          <w:b/>
          <w:i/>
          <w:color w:val="000000" w:themeColor="text1"/>
        </w:rPr>
        <w:t xml:space="preserve">This document contains important </w:t>
      </w:r>
      <w:r>
        <w:rPr>
          <w:rFonts w:cs="Arial"/>
          <w:b/>
          <w:i/>
          <w:color w:val="000000" w:themeColor="text1"/>
        </w:rPr>
        <w:t xml:space="preserve">information </w:t>
      </w:r>
      <w:r w:rsidRPr="00987938">
        <w:rPr>
          <w:rFonts w:cs="Arial"/>
          <w:b/>
          <w:i/>
          <w:color w:val="000000" w:themeColor="text1"/>
        </w:rPr>
        <w:t xml:space="preserve">for your organisation about </w:t>
      </w:r>
      <w:r>
        <w:rPr>
          <w:rFonts w:cs="Arial"/>
          <w:b/>
          <w:i/>
          <w:color w:val="000000" w:themeColor="text1"/>
        </w:rPr>
        <w:t>accession to the Uniform Network Code and to the Data Services Contract</w:t>
      </w:r>
      <w:r w:rsidRPr="00987938">
        <w:rPr>
          <w:rFonts w:cs="Arial"/>
          <w:b/>
          <w:i/>
          <w:color w:val="000000" w:themeColor="text1"/>
        </w:rPr>
        <w:t>.</w:t>
      </w:r>
    </w:p>
    <w:p w:rsidR="001345FB" w:rsidRPr="00987938" w:rsidRDefault="001345FB" w:rsidP="001345FB">
      <w:pPr>
        <w:pBdr>
          <w:top w:val="single" w:sz="4" w:space="1" w:color="auto"/>
          <w:left w:val="single" w:sz="4" w:space="4" w:color="auto"/>
          <w:bottom w:val="single" w:sz="4" w:space="1" w:color="auto"/>
          <w:right w:val="single" w:sz="4" w:space="4" w:color="auto"/>
        </w:pBdr>
        <w:jc w:val="center"/>
        <w:rPr>
          <w:rFonts w:cs="Arial"/>
          <w:b/>
          <w:i/>
        </w:rPr>
      </w:pPr>
      <w:r w:rsidRPr="00987938">
        <w:rPr>
          <w:rFonts w:cs="Arial"/>
          <w:b/>
          <w:i/>
          <w:color w:val="000000" w:themeColor="text1"/>
        </w:rPr>
        <w:t xml:space="preserve">Please read it </w:t>
      </w:r>
      <w:r>
        <w:rPr>
          <w:rFonts w:cs="Arial"/>
          <w:b/>
          <w:i/>
          <w:color w:val="000000" w:themeColor="text1"/>
        </w:rPr>
        <w:t>carefully and ensure that your organisation takes appropriate action</w:t>
      </w:r>
      <w:r w:rsidRPr="00987938">
        <w:rPr>
          <w:rFonts w:cs="Arial"/>
          <w:b/>
          <w:i/>
          <w:color w:val="000000" w:themeColor="text1"/>
        </w:rPr>
        <w:t>.</w:t>
      </w:r>
    </w:p>
    <w:p w:rsidR="001345FB" w:rsidRDefault="001345FB" w:rsidP="001345FB">
      <w:pPr>
        <w:rPr>
          <w:rFonts w:ascii="Avenir LT Std 35 Light" w:hAnsi="Avenir LT Std 35 Light"/>
          <w:sz w:val="24"/>
          <w:szCs w:val="24"/>
        </w:rPr>
      </w:pPr>
    </w:p>
    <w:p w:rsidR="001345FB" w:rsidRDefault="001345FB" w:rsidP="001345FB">
      <w:pPr>
        <w:rPr>
          <w:rFonts w:ascii="Avenir LT Std 35 Light" w:hAnsi="Avenir LT Std 35 Light"/>
          <w:sz w:val="24"/>
          <w:szCs w:val="24"/>
        </w:rPr>
      </w:pPr>
    </w:p>
    <w:p w:rsidR="001345FB" w:rsidRDefault="001345FB" w:rsidP="001345FB">
      <w:pPr>
        <w:rPr>
          <w:rFonts w:ascii="Avenir LT Std 35 Light" w:hAnsi="Avenir LT Std 35 Light"/>
          <w:sz w:val="24"/>
          <w:szCs w:val="24"/>
        </w:rPr>
      </w:pPr>
    </w:p>
    <w:p w:rsidR="001345FB" w:rsidRPr="001345FB" w:rsidRDefault="001345FB" w:rsidP="001345FB">
      <w:pPr>
        <w:pStyle w:val="NGTHeading1"/>
        <w:numPr>
          <w:ilvl w:val="0"/>
          <w:numId w:val="1"/>
        </w:numPr>
        <w:rPr>
          <w:rFonts w:cs="Arial"/>
        </w:rPr>
      </w:pPr>
      <w:r w:rsidRPr="001345FB">
        <w:rPr>
          <w:rFonts w:cs="Arial"/>
        </w:rPr>
        <w:lastRenderedPageBreak/>
        <w:t>Introduction</w:t>
      </w:r>
    </w:p>
    <w:p w:rsidR="001345FB" w:rsidRPr="001345FB" w:rsidRDefault="001345FB" w:rsidP="001345FB">
      <w:pPr>
        <w:pStyle w:val="NGTHeading2"/>
        <w:numPr>
          <w:ilvl w:val="1"/>
          <w:numId w:val="1"/>
        </w:numPr>
        <w:tabs>
          <w:tab w:val="num" w:pos="567"/>
        </w:tabs>
        <w:ind w:left="567"/>
        <w:rPr>
          <w:rFonts w:cs="Arial"/>
        </w:rPr>
      </w:pPr>
      <w:r w:rsidRPr="001345FB">
        <w:rPr>
          <w:rFonts w:cs="Arial"/>
          <w:szCs w:val="20"/>
        </w:rPr>
        <w:t>The Xoserve funding, governance and ownership (FGO) Programme was established to define and deliver a blueprint for a co-operative, inclusive and transparent governance and funding model for Xoserve as the gas industry Central Data Services Provider (“CDSP”). The CDSP arrangeme</w:t>
      </w:r>
      <w:bookmarkStart w:id="0" w:name="_GoBack"/>
      <w:bookmarkEnd w:id="0"/>
      <w:r w:rsidRPr="001345FB">
        <w:rPr>
          <w:rFonts w:cs="Arial"/>
          <w:szCs w:val="20"/>
        </w:rPr>
        <w:t>nts came into effect on 1 April 2017</w:t>
      </w:r>
      <w:r w:rsidRPr="001345FB">
        <w:rPr>
          <w:rStyle w:val="FootnoteReference"/>
          <w:rFonts w:cs="Arial"/>
          <w:szCs w:val="20"/>
        </w:rPr>
        <w:footnoteReference w:id="1"/>
      </w:r>
      <w:r w:rsidRPr="001345FB">
        <w:rPr>
          <w:rFonts w:cs="Arial"/>
          <w:szCs w:val="20"/>
        </w:rPr>
        <w:t>.</w:t>
      </w:r>
    </w:p>
    <w:p w:rsidR="001345FB" w:rsidRPr="001345FB" w:rsidRDefault="001345FB" w:rsidP="001345FB">
      <w:pPr>
        <w:pStyle w:val="NGTHeading2"/>
        <w:numPr>
          <w:ilvl w:val="1"/>
          <w:numId w:val="1"/>
        </w:numPr>
        <w:tabs>
          <w:tab w:val="num" w:pos="567"/>
        </w:tabs>
        <w:ind w:left="567"/>
        <w:rPr>
          <w:rFonts w:cs="Arial"/>
        </w:rPr>
      </w:pPr>
      <w:r w:rsidRPr="001345FB">
        <w:rPr>
          <w:rFonts w:cs="Arial"/>
          <w:szCs w:val="20"/>
        </w:rPr>
        <w:t>The independent Gas Transporters (“iGTs”) become party to the full CDSP arrangements at the commencement of iGT Single Service Provision, this being the Project Nexus Implementation Date (“PNID”) of 1 June 2017.  The iGTs are required to sign the Amended and Restated Transporters Framework Agreement (“ARTFA”) which will bind them to IGTAD and other parts of the UNC, and will accordingly make each iGT a party to the principal Gas Transporters’ Uniform Network Code (“UNC”) and to the Data Services Contract (“DSC”) with Xoserve with effect from the PNID.</w:t>
      </w:r>
    </w:p>
    <w:p w:rsidR="001345FB" w:rsidRPr="001345FB" w:rsidRDefault="001345FB" w:rsidP="001345FB">
      <w:pPr>
        <w:pStyle w:val="NGTHeading2"/>
        <w:numPr>
          <w:ilvl w:val="1"/>
          <w:numId w:val="1"/>
        </w:numPr>
        <w:tabs>
          <w:tab w:val="num" w:pos="567"/>
        </w:tabs>
        <w:ind w:left="567"/>
        <w:rPr>
          <w:rFonts w:cs="Arial"/>
        </w:rPr>
      </w:pPr>
      <w:r w:rsidRPr="001345FB">
        <w:rPr>
          <w:rFonts w:cs="Arial"/>
        </w:rPr>
        <w:t>This document is being sent to the nominated Single Point of Contact (“SPOC”) in each iGT organisation.  The purpose of the document is to provide iGTs with guidance and to request information in respect of:</w:t>
      </w:r>
    </w:p>
    <w:p w:rsidR="001345FB" w:rsidRPr="001345FB" w:rsidRDefault="001345FB" w:rsidP="001345FB">
      <w:pPr>
        <w:pStyle w:val="NGTHeading2"/>
        <w:numPr>
          <w:ilvl w:val="2"/>
          <w:numId w:val="1"/>
        </w:numPr>
        <w:tabs>
          <w:tab w:val="num" w:pos="1702"/>
        </w:tabs>
        <w:rPr>
          <w:rFonts w:cs="Arial"/>
        </w:rPr>
      </w:pPr>
      <w:r w:rsidRPr="001345FB">
        <w:rPr>
          <w:rFonts w:cs="Arial"/>
        </w:rPr>
        <w:t>Nomination of Contract Managers (Section 2);</w:t>
      </w:r>
    </w:p>
    <w:p w:rsidR="001345FB" w:rsidRPr="001345FB" w:rsidRDefault="001345FB" w:rsidP="001345FB">
      <w:pPr>
        <w:pStyle w:val="NGTHeading2"/>
        <w:numPr>
          <w:ilvl w:val="2"/>
          <w:numId w:val="1"/>
        </w:numPr>
        <w:tabs>
          <w:tab w:val="num" w:pos="1702"/>
        </w:tabs>
        <w:rPr>
          <w:rFonts w:cs="Arial"/>
        </w:rPr>
      </w:pPr>
      <w:r w:rsidRPr="001345FB">
        <w:rPr>
          <w:rFonts w:cs="Arial"/>
        </w:rPr>
        <w:t>UNC and DSC Accession (Section 3);</w:t>
      </w:r>
    </w:p>
    <w:p w:rsidR="001345FB" w:rsidRPr="001345FB" w:rsidRDefault="001345FB" w:rsidP="001345FB">
      <w:pPr>
        <w:pStyle w:val="NGTHeading2"/>
        <w:numPr>
          <w:ilvl w:val="2"/>
          <w:numId w:val="1"/>
        </w:numPr>
        <w:tabs>
          <w:tab w:val="num" w:pos="1702"/>
        </w:tabs>
        <w:rPr>
          <w:rFonts w:cs="Arial"/>
        </w:rPr>
      </w:pPr>
      <w:r w:rsidRPr="001345FB">
        <w:rPr>
          <w:rFonts w:cs="Arial"/>
        </w:rPr>
        <w:t>Charges, Invoicing and Payment (Section 4);</w:t>
      </w:r>
    </w:p>
    <w:p w:rsidR="001345FB" w:rsidRPr="001345FB" w:rsidRDefault="001345FB" w:rsidP="001345FB">
      <w:pPr>
        <w:pStyle w:val="NGTHeading2"/>
        <w:numPr>
          <w:ilvl w:val="2"/>
          <w:numId w:val="1"/>
        </w:numPr>
        <w:tabs>
          <w:tab w:val="num" w:pos="1702"/>
        </w:tabs>
        <w:rPr>
          <w:rFonts w:cs="Arial"/>
        </w:rPr>
      </w:pPr>
      <w:r w:rsidRPr="001345FB">
        <w:rPr>
          <w:rFonts w:cs="Arial"/>
        </w:rPr>
        <w:t>Credit Management (Section 5); and</w:t>
      </w:r>
    </w:p>
    <w:p w:rsidR="001345FB" w:rsidRPr="001345FB" w:rsidRDefault="001345FB" w:rsidP="001345FB">
      <w:pPr>
        <w:pStyle w:val="NGTHeading2"/>
        <w:numPr>
          <w:ilvl w:val="2"/>
          <w:numId w:val="1"/>
        </w:numPr>
        <w:tabs>
          <w:tab w:val="num" w:pos="1702"/>
        </w:tabs>
        <w:rPr>
          <w:rFonts w:cs="Arial"/>
        </w:rPr>
      </w:pPr>
      <w:r w:rsidRPr="001345FB">
        <w:rPr>
          <w:rFonts w:cs="Arial"/>
        </w:rPr>
        <w:t>Ordering of Services (Section 6).</w:t>
      </w: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Requests for clarification of any matters set out in this document should be sent by email to </w:t>
      </w:r>
      <w:hyperlink r:id="rId13" w:history="1">
        <w:r w:rsidRPr="001345FB">
          <w:rPr>
            <w:rStyle w:val="Hyperlink"/>
            <w:rFonts w:cs="Arial"/>
            <w:szCs w:val="20"/>
          </w:rPr>
          <w:t>box.xoserve.FGOQandA@xoserve.com</w:t>
        </w:r>
      </w:hyperlink>
      <w:r w:rsidRPr="001345FB">
        <w:rPr>
          <w:rFonts w:cs="Arial"/>
          <w:color w:val="000000"/>
          <w:szCs w:val="20"/>
        </w:rPr>
        <w:t>,</w:t>
      </w:r>
      <w:r w:rsidRPr="001345FB">
        <w:rPr>
          <w:rFonts w:cs="Arial"/>
        </w:rPr>
        <w:t xml:space="preserve"> and should include “iGT DSC Readiness” in the subject line.</w:t>
      </w:r>
    </w:p>
    <w:p w:rsidR="001345FB" w:rsidRPr="001345FB" w:rsidRDefault="001345FB" w:rsidP="001345FB">
      <w:pPr>
        <w:pStyle w:val="NGTHeading2"/>
        <w:numPr>
          <w:ilvl w:val="0"/>
          <w:numId w:val="1"/>
        </w:numPr>
        <w:tabs>
          <w:tab w:val="num" w:pos="1702"/>
        </w:tabs>
        <w:rPr>
          <w:rFonts w:cs="Arial"/>
          <w:b/>
        </w:rPr>
      </w:pPr>
      <w:r w:rsidRPr="001345FB">
        <w:rPr>
          <w:rFonts w:cs="Arial"/>
          <w:b/>
        </w:rPr>
        <w:t>Nomination of Contract Managers</w:t>
      </w:r>
    </w:p>
    <w:p w:rsidR="001345FB" w:rsidRPr="001345FB" w:rsidRDefault="001345FB" w:rsidP="001345FB">
      <w:pPr>
        <w:pStyle w:val="NGTHeading2"/>
        <w:numPr>
          <w:ilvl w:val="1"/>
          <w:numId w:val="1"/>
        </w:numPr>
        <w:tabs>
          <w:tab w:val="num" w:pos="567"/>
        </w:tabs>
        <w:ind w:left="567"/>
        <w:rPr>
          <w:rFonts w:cs="Arial"/>
          <w:b/>
        </w:rPr>
      </w:pPr>
      <w:r w:rsidRPr="001345FB">
        <w:rPr>
          <w:rFonts w:cs="Arial"/>
        </w:rPr>
        <w:t xml:space="preserve">Each iGT is required to nominate an Individual Contract Manager for their organisation.  Contact details (comprising name, email address and telephone number) should be sent by email to </w:t>
      </w:r>
      <w:hyperlink r:id="rId14" w:history="1">
        <w:r w:rsidRPr="001345FB">
          <w:rPr>
            <w:rStyle w:val="Hyperlink"/>
            <w:rFonts w:cs="Arial"/>
          </w:rPr>
          <w:t>customerlifecycle.spa@xoserve.com</w:t>
        </w:r>
      </w:hyperlink>
      <w:r w:rsidRPr="001345FB">
        <w:rPr>
          <w:rFonts w:cs="Arial"/>
        </w:rPr>
        <w:t xml:space="preserve"> by 28 April 2017, and should include “iGT Contract Manager” in the subject line.</w:t>
      </w:r>
    </w:p>
    <w:p w:rsidR="001345FB" w:rsidRPr="001345FB" w:rsidRDefault="001345FB" w:rsidP="001345FB">
      <w:pPr>
        <w:pStyle w:val="NGTHeading2"/>
        <w:numPr>
          <w:ilvl w:val="0"/>
          <w:numId w:val="1"/>
        </w:numPr>
        <w:tabs>
          <w:tab w:val="num" w:pos="1702"/>
        </w:tabs>
        <w:rPr>
          <w:rFonts w:cs="Arial"/>
          <w:b/>
        </w:rPr>
      </w:pPr>
      <w:r w:rsidRPr="001345FB">
        <w:rPr>
          <w:rFonts w:cs="Arial"/>
          <w:b/>
        </w:rPr>
        <w:t>UNC and DSC Accession</w:t>
      </w:r>
    </w:p>
    <w:p w:rsidR="001345FB" w:rsidRPr="001345FB" w:rsidRDefault="001345FB" w:rsidP="001345FB">
      <w:pPr>
        <w:pStyle w:val="NGTHeading2"/>
        <w:numPr>
          <w:ilvl w:val="1"/>
          <w:numId w:val="1"/>
        </w:numPr>
        <w:tabs>
          <w:tab w:val="num" w:pos="567"/>
        </w:tabs>
        <w:ind w:left="567"/>
        <w:rPr>
          <w:rFonts w:cs="Arial"/>
          <w:b/>
        </w:rPr>
      </w:pPr>
      <w:r w:rsidRPr="001345FB">
        <w:rPr>
          <w:rFonts w:cs="Arial"/>
        </w:rPr>
        <w:t>Dentons will issue two documents by email to iGTs on Xoserve’s behalf.  These are:</w:t>
      </w:r>
    </w:p>
    <w:p w:rsidR="001345FB" w:rsidRPr="001345FB" w:rsidRDefault="001345FB" w:rsidP="001345FB">
      <w:pPr>
        <w:pStyle w:val="NGTHeading2"/>
        <w:numPr>
          <w:ilvl w:val="2"/>
          <w:numId w:val="1"/>
        </w:numPr>
        <w:tabs>
          <w:tab w:val="num" w:pos="1702"/>
        </w:tabs>
        <w:rPr>
          <w:rFonts w:cs="Arial"/>
          <w:b/>
        </w:rPr>
      </w:pPr>
      <w:r w:rsidRPr="001345FB">
        <w:rPr>
          <w:rFonts w:cs="Arial"/>
        </w:rPr>
        <w:lastRenderedPageBreak/>
        <w:t>An Amended and Restated Transporters Framework Agreement; and</w:t>
      </w:r>
    </w:p>
    <w:p w:rsidR="001345FB" w:rsidRPr="001345FB" w:rsidRDefault="001345FB" w:rsidP="001345FB">
      <w:pPr>
        <w:pStyle w:val="NGTHeading2"/>
        <w:numPr>
          <w:ilvl w:val="2"/>
          <w:numId w:val="1"/>
        </w:numPr>
        <w:tabs>
          <w:tab w:val="num" w:pos="1702"/>
        </w:tabs>
        <w:rPr>
          <w:rFonts w:cs="Arial"/>
          <w:b/>
        </w:rPr>
      </w:pPr>
      <w:r w:rsidRPr="001345FB">
        <w:rPr>
          <w:rFonts w:cs="Arial"/>
        </w:rPr>
        <w:t>A DSC Accession Agreement.</w:t>
      </w:r>
    </w:p>
    <w:p w:rsidR="001345FB" w:rsidRPr="001345FB" w:rsidRDefault="001345FB" w:rsidP="001345FB">
      <w:pPr>
        <w:pStyle w:val="NGTHeading2"/>
        <w:numPr>
          <w:ilvl w:val="1"/>
          <w:numId w:val="1"/>
        </w:numPr>
        <w:tabs>
          <w:tab w:val="num" w:pos="567"/>
        </w:tabs>
        <w:ind w:left="567"/>
        <w:rPr>
          <w:rFonts w:cs="Arial"/>
          <w:b/>
        </w:rPr>
      </w:pPr>
      <w:r w:rsidRPr="001345FB">
        <w:rPr>
          <w:rFonts w:cs="Arial"/>
        </w:rPr>
        <w:t xml:space="preserve">The covering email from Dentons will set out the detailed instructions for the signing and returning of these Agreements.  </w:t>
      </w:r>
    </w:p>
    <w:p w:rsidR="001345FB" w:rsidRPr="001345FB" w:rsidRDefault="001345FB" w:rsidP="001345FB">
      <w:pPr>
        <w:pStyle w:val="NGTHeading2"/>
        <w:numPr>
          <w:ilvl w:val="1"/>
          <w:numId w:val="1"/>
        </w:numPr>
        <w:tabs>
          <w:tab w:val="num" w:pos="567"/>
        </w:tabs>
        <w:ind w:left="567"/>
        <w:rPr>
          <w:rFonts w:cs="Arial"/>
          <w:b/>
        </w:rPr>
      </w:pPr>
      <w:r w:rsidRPr="001345FB">
        <w:rPr>
          <w:rFonts w:cs="Arial"/>
        </w:rPr>
        <w:t xml:space="preserve">Agreements will be issued by to iGTs by 13 April 2017, and iGTs are requested to sign and return these to Dentons no later than 12 May 2017.  </w:t>
      </w:r>
    </w:p>
    <w:p w:rsidR="001345FB" w:rsidRPr="001345FB" w:rsidRDefault="001345FB" w:rsidP="001345FB">
      <w:pPr>
        <w:pStyle w:val="NGTHeading2"/>
        <w:numPr>
          <w:ilvl w:val="0"/>
          <w:numId w:val="1"/>
        </w:numPr>
        <w:rPr>
          <w:rFonts w:cs="Arial"/>
        </w:rPr>
      </w:pPr>
      <w:r w:rsidRPr="001345FB">
        <w:rPr>
          <w:rFonts w:cs="Arial"/>
          <w:b/>
          <w:bCs/>
        </w:rPr>
        <w:t xml:space="preserve">Charges, </w:t>
      </w:r>
      <w:r w:rsidRPr="001345FB">
        <w:rPr>
          <w:rFonts w:cs="Arial"/>
          <w:b/>
        </w:rPr>
        <w:t>Invoicing and Payment</w:t>
      </w:r>
      <w:r w:rsidRPr="001345FB">
        <w:rPr>
          <w:rFonts w:cs="Arial"/>
          <w:b/>
          <w:bCs/>
        </w:rPr>
        <w:t xml:space="preserve"> </w:t>
      </w:r>
    </w:p>
    <w:p w:rsidR="001345FB" w:rsidRPr="001345FB" w:rsidRDefault="001345FB" w:rsidP="001345FB">
      <w:pPr>
        <w:pStyle w:val="NGTHeading2"/>
        <w:numPr>
          <w:ilvl w:val="1"/>
          <w:numId w:val="1"/>
        </w:numPr>
        <w:tabs>
          <w:tab w:val="num" w:pos="567"/>
        </w:tabs>
        <w:ind w:left="567"/>
        <w:rPr>
          <w:rFonts w:cs="Arial"/>
          <w:szCs w:val="20"/>
        </w:rPr>
      </w:pPr>
      <w:r w:rsidRPr="001345FB">
        <w:rPr>
          <w:rFonts w:cs="Arial"/>
          <w:szCs w:val="20"/>
        </w:rPr>
        <w:t xml:space="preserve">Charges for CDSP Services for 2017/18 are set out in the CDSP Annual Charging Statement, which is available at </w:t>
      </w:r>
      <w:hyperlink r:id="rId15" w:history="1">
        <w:r w:rsidRPr="001345FB">
          <w:rPr>
            <w:rStyle w:val="Hyperlink"/>
            <w:rFonts w:cs="Arial"/>
            <w:szCs w:val="20"/>
          </w:rPr>
          <w:t>http://www.xoserve.com/wp-content/uploads/Xoserve-Annual-Charging-Statement-2017-18-v1.0.pdf</w:t>
        </w:r>
      </w:hyperlink>
      <w:r w:rsidRPr="001345FB">
        <w:rPr>
          <w:rFonts w:cs="Arial"/>
          <w:szCs w:val="20"/>
        </w:rPr>
        <w:t>.</w:t>
      </w:r>
    </w:p>
    <w:p w:rsidR="001345FB" w:rsidRPr="001345FB" w:rsidRDefault="001345FB" w:rsidP="001345FB">
      <w:pPr>
        <w:pStyle w:val="NGTHeading2"/>
        <w:numPr>
          <w:ilvl w:val="1"/>
          <w:numId w:val="1"/>
        </w:numPr>
        <w:tabs>
          <w:tab w:val="num" w:pos="567"/>
        </w:tabs>
        <w:ind w:left="567"/>
        <w:rPr>
          <w:rFonts w:cs="Arial"/>
          <w:szCs w:val="20"/>
        </w:rPr>
      </w:pPr>
      <w:r w:rsidRPr="001345FB">
        <w:rPr>
          <w:rFonts w:cs="Arial"/>
        </w:rPr>
        <w:t>Xoserve will provide further information in respect of 2017/18 Charges to iGTs by 10 May 2017.</w:t>
      </w:r>
    </w:p>
    <w:p w:rsidR="001345FB" w:rsidRPr="001345FB" w:rsidRDefault="001345FB" w:rsidP="001345FB">
      <w:pPr>
        <w:pStyle w:val="NGTHeading2"/>
        <w:numPr>
          <w:ilvl w:val="1"/>
          <w:numId w:val="1"/>
        </w:numPr>
        <w:tabs>
          <w:tab w:val="clear" w:pos="1702"/>
          <w:tab w:val="num" w:pos="567"/>
        </w:tabs>
        <w:ind w:left="567"/>
        <w:rPr>
          <w:rFonts w:cs="Arial"/>
        </w:rPr>
      </w:pPr>
      <w:r w:rsidRPr="001345FB">
        <w:rPr>
          <w:rFonts w:cs="Arial"/>
        </w:rPr>
        <w:t>Xoserve will invoice iGTs in accordance with the DSC (in particular the CDSP Budget and Charging Methodology)</w:t>
      </w:r>
      <w:r w:rsidRPr="001345FB">
        <w:rPr>
          <w:rStyle w:val="FootnoteReference"/>
          <w:rFonts w:cs="Arial"/>
        </w:rPr>
        <w:footnoteReference w:id="2"/>
      </w:r>
      <w:r w:rsidRPr="001345FB">
        <w:rPr>
          <w:rFonts w:cs="Arial"/>
        </w:rPr>
        <w:t>.  Invoices will be issued by post and/or by email, and will be accompanied by supporting information that is sufficient to allow iGTs to validate that their Charges are in accordance with the CDSP Annual Charging Statement.</w:t>
      </w:r>
    </w:p>
    <w:p w:rsidR="001345FB" w:rsidRPr="001345FB" w:rsidRDefault="001345FB" w:rsidP="001345FB">
      <w:pPr>
        <w:pStyle w:val="NGTHeading2"/>
        <w:numPr>
          <w:ilvl w:val="1"/>
          <w:numId w:val="1"/>
        </w:numPr>
        <w:tabs>
          <w:tab w:val="clear" w:pos="1702"/>
          <w:tab w:val="num" w:pos="567"/>
        </w:tabs>
        <w:ind w:left="567"/>
        <w:rPr>
          <w:rFonts w:cs="Arial"/>
        </w:rPr>
      </w:pPr>
      <w:r w:rsidRPr="001345FB">
        <w:rPr>
          <w:rFonts w:cs="Arial"/>
        </w:rPr>
        <w:t xml:space="preserve">In order for Xoserve to be able to submit invoices and to make payment to iGTs if required, each iGT is asked to complete and return the attached Invoicing and Credit Management Information Template to Xoserve by 28 April 2017.  Completed Templates should be sent by email to </w:t>
      </w:r>
      <w:hyperlink r:id="rId16" w:history="1">
        <w:r w:rsidRPr="001345FB">
          <w:rPr>
            <w:rStyle w:val="Hyperlink"/>
            <w:rFonts w:cs="Arial"/>
          </w:rPr>
          <w:t>box.xoserve.CRM_Xoserve@xoserve.com</w:t>
        </w:r>
      </w:hyperlink>
      <w:r w:rsidRPr="001345FB">
        <w:rPr>
          <w:rFonts w:cs="Arial"/>
        </w:rPr>
        <w:t>.</w:t>
      </w:r>
    </w:p>
    <w:p w:rsidR="001345FB" w:rsidRPr="001345FB" w:rsidRDefault="001345FB" w:rsidP="001345FB">
      <w:pPr>
        <w:pStyle w:val="NGTHeading2"/>
        <w:numPr>
          <w:ilvl w:val="1"/>
          <w:numId w:val="1"/>
        </w:numPr>
        <w:tabs>
          <w:tab w:val="clear" w:pos="1702"/>
          <w:tab w:val="num" w:pos="567"/>
        </w:tabs>
        <w:ind w:left="567"/>
        <w:rPr>
          <w:rFonts w:cs="Arial"/>
        </w:rPr>
      </w:pPr>
      <w:r w:rsidRPr="001345FB">
        <w:rPr>
          <w:rFonts w:cs="Arial"/>
        </w:rPr>
        <w:t>Payment is required to be made within 20 Business Days following the date of the invoice, and must be in full and in cleared funds. The details of the bank account to which payment of Xoserve invoices should be made are set out below:</w:t>
      </w:r>
    </w:p>
    <w:p w:rsidR="001345FB" w:rsidRPr="001345FB" w:rsidRDefault="001345FB" w:rsidP="001345FB">
      <w:pPr>
        <w:pStyle w:val="NGTHeading2"/>
        <w:rPr>
          <w:rFonts w:cs="Arial"/>
        </w:rPr>
      </w:pPr>
    </w:p>
    <w:tbl>
      <w:tblPr>
        <w:tblStyle w:val="TableGrid"/>
        <w:tblW w:w="0" w:type="auto"/>
        <w:jc w:val="center"/>
        <w:tblLook w:val="04A0" w:firstRow="1" w:lastRow="0" w:firstColumn="1" w:lastColumn="0" w:noHBand="0" w:noVBand="1"/>
      </w:tblPr>
      <w:tblGrid>
        <w:gridCol w:w="1855"/>
        <w:gridCol w:w="3237"/>
      </w:tblGrid>
      <w:tr w:rsidR="001345FB" w:rsidRPr="001345FB" w:rsidTr="001345FB">
        <w:trPr>
          <w:jc w:val="center"/>
        </w:trPr>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Bank</w:t>
            </w:r>
          </w:p>
        </w:tc>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Barclays plc</w:t>
            </w:r>
          </w:p>
        </w:tc>
      </w:tr>
      <w:tr w:rsidR="001345FB" w:rsidRPr="001345FB" w:rsidTr="001345FB">
        <w:trPr>
          <w:jc w:val="center"/>
        </w:trPr>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Account Name</w:t>
            </w:r>
          </w:p>
        </w:tc>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Xoserve Limited</w:t>
            </w:r>
          </w:p>
        </w:tc>
      </w:tr>
      <w:tr w:rsidR="001345FB" w:rsidRPr="001345FB" w:rsidTr="001345FB">
        <w:trPr>
          <w:jc w:val="center"/>
        </w:trPr>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Account Number</w:t>
            </w:r>
          </w:p>
        </w:tc>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10322369</w:t>
            </w:r>
          </w:p>
        </w:tc>
      </w:tr>
      <w:tr w:rsidR="001345FB" w:rsidRPr="001345FB" w:rsidTr="001345FB">
        <w:trPr>
          <w:jc w:val="center"/>
        </w:trPr>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Sort Code</w:t>
            </w:r>
          </w:p>
        </w:tc>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20-77-62</w:t>
            </w:r>
          </w:p>
        </w:tc>
      </w:tr>
      <w:tr w:rsidR="001345FB" w:rsidRPr="001345FB" w:rsidTr="001345FB">
        <w:trPr>
          <w:jc w:val="center"/>
        </w:trPr>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IBAN</w:t>
            </w:r>
          </w:p>
        </w:tc>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color w:val="000000"/>
                <w:lang w:eastAsia="en-GB"/>
              </w:rPr>
              <w:t>GB75BARC20776210322369</w:t>
            </w:r>
          </w:p>
        </w:tc>
      </w:tr>
      <w:tr w:rsidR="001345FB" w:rsidRPr="001345FB" w:rsidTr="001345FB">
        <w:trPr>
          <w:jc w:val="center"/>
        </w:trPr>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SWIFT BIC</w:t>
            </w:r>
          </w:p>
        </w:tc>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color w:val="000000"/>
                <w:lang w:eastAsia="en-GB"/>
              </w:rPr>
              <w:t>BARCGB22</w:t>
            </w:r>
          </w:p>
        </w:tc>
      </w:tr>
      <w:tr w:rsidR="001345FB" w:rsidRPr="001345FB" w:rsidTr="001345FB">
        <w:trPr>
          <w:jc w:val="center"/>
        </w:trPr>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rPr>
              <w:t>Purpose</w:t>
            </w:r>
          </w:p>
        </w:tc>
        <w:tc>
          <w:tcPr>
            <w:tcW w:w="0" w:type="auto"/>
          </w:tcPr>
          <w:p w:rsidR="001345FB" w:rsidRPr="001345FB" w:rsidRDefault="001345FB" w:rsidP="001345FB">
            <w:pPr>
              <w:pStyle w:val="NGTHeading2"/>
              <w:spacing w:line="240" w:lineRule="auto"/>
              <w:rPr>
                <w:rFonts w:ascii="Arial" w:hAnsi="Arial" w:cs="Arial"/>
              </w:rPr>
            </w:pPr>
            <w:r w:rsidRPr="001345FB">
              <w:rPr>
                <w:rFonts w:ascii="Arial" w:hAnsi="Arial" w:cs="Arial"/>
                <w:color w:val="000000"/>
                <w:lang w:eastAsia="en-GB"/>
              </w:rPr>
              <w:t>Xoserve income and payments</w:t>
            </w:r>
          </w:p>
        </w:tc>
      </w:tr>
    </w:tbl>
    <w:p w:rsidR="001345FB" w:rsidRPr="001345FB" w:rsidRDefault="001345FB" w:rsidP="001345FB">
      <w:pPr>
        <w:pStyle w:val="NGTHeading2"/>
        <w:rPr>
          <w:rFonts w:cs="Arial"/>
        </w:rPr>
      </w:pPr>
    </w:p>
    <w:p w:rsidR="001345FB" w:rsidRPr="001345FB" w:rsidRDefault="001345FB" w:rsidP="001345FB">
      <w:pPr>
        <w:pStyle w:val="NGTHeading2"/>
        <w:numPr>
          <w:ilvl w:val="0"/>
          <w:numId w:val="1"/>
        </w:numPr>
        <w:rPr>
          <w:rFonts w:cs="Arial"/>
        </w:rPr>
      </w:pPr>
      <w:r w:rsidRPr="001345FB">
        <w:rPr>
          <w:rFonts w:cs="Arial"/>
          <w:b/>
        </w:rPr>
        <w:t>Credit Management</w:t>
      </w:r>
    </w:p>
    <w:p w:rsidR="001345FB" w:rsidRPr="001345FB" w:rsidRDefault="001345FB" w:rsidP="001345FB">
      <w:pPr>
        <w:pStyle w:val="NGTHeading2"/>
        <w:numPr>
          <w:ilvl w:val="1"/>
          <w:numId w:val="1"/>
        </w:numPr>
        <w:tabs>
          <w:tab w:val="clear" w:pos="1702"/>
          <w:tab w:val="num" w:pos="567"/>
        </w:tabs>
        <w:ind w:left="567"/>
        <w:rPr>
          <w:rFonts w:cs="Arial"/>
          <w:szCs w:val="20"/>
        </w:rPr>
      </w:pPr>
      <w:r w:rsidRPr="001345FB">
        <w:rPr>
          <w:rFonts w:cs="Arial"/>
          <w:szCs w:val="20"/>
        </w:rPr>
        <w:lastRenderedPageBreak/>
        <w:t>The CDSP Credit Policy</w:t>
      </w:r>
      <w:r w:rsidRPr="001345FB">
        <w:rPr>
          <w:rStyle w:val="FootnoteReference"/>
          <w:rFonts w:cs="Arial"/>
          <w:szCs w:val="20"/>
        </w:rPr>
        <w:footnoteReference w:id="3"/>
      </w:r>
      <w:r w:rsidRPr="001345FB">
        <w:rPr>
          <w:rFonts w:cs="Arial"/>
          <w:szCs w:val="20"/>
        </w:rPr>
        <w:t xml:space="preserve"> sets out the role and function of the Credit Committee, the arrangements for determining a Customer’s Credit Limit, the basis for calculating a Customer’s Indebtedness and the procedures to be followed in connection with the management of credit risk to the CDSP.  The CDSP Credit Policy also references the DSC Credit Rules.</w:t>
      </w:r>
    </w:p>
    <w:p w:rsidR="001345FB" w:rsidRPr="001345FB" w:rsidRDefault="001345FB" w:rsidP="001345FB">
      <w:pPr>
        <w:pStyle w:val="NGTHeading2"/>
        <w:numPr>
          <w:ilvl w:val="1"/>
          <w:numId w:val="1"/>
        </w:numPr>
        <w:tabs>
          <w:tab w:val="clear" w:pos="1702"/>
          <w:tab w:val="num" w:pos="567"/>
        </w:tabs>
        <w:ind w:left="567"/>
        <w:rPr>
          <w:rFonts w:cs="Arial"/>
          <w:b/>
          <w:szCs w:val="20"/>
        </w:rPr>
      </w:pPr>
      <w:r w:rsidRPr="001345FB">
        <w:rPr>
          <w:rFonts w:cs="Arial"/>
          <w:szCs w:val="20"/>
        </w:rPr>
        <w:t xml:space="preserve">For the purposes of implementing and operating the CDSP Credit Policy, </w:t>
      </w:r>
      <w:r w:rsidRPr="001345FB">
        <w:rPr>
          <w:rFonts w:cs="Arial"/>
        </w:rPr>
        <w:t>each iGT is asked to complete and return the attached Invoicing and Credit Management Information Template to Xoserve by 28 April 2017</w:t>
      </w:r>
      <w:r w:rsidRPr="001345FB">
        <w:rPr>
          <w:rFonts w:cs="Arial"/>
          <w:szCs w:val="20"/>
        </w:rPr>
        <w:t xml:space="preserve">.  </w:t>
      </w:r>
      <w:r w:rsidRPr="001345FB">
        <w:rPr>
          <w:rFonts w:cs="Arial"/>
        </w:rPr>
        <w:t xml:space="preserve">Completed Templates should be sent by email to </w:t>
      </w:r>
      <w:hyperlink r:id="rId17" w:history="1">
        <w:r w:rsidRPr="001345FB">
          <w:rPr>
            <w:rStyle w:val="Hyperlink"/>
            <w:rFonts w:cs="Arial"/>
          </w:rPr>
          <w:t>box.xoserve.CRM_Xoserve@xoserve.com</w:t>
        </w:r>
      </w:hyperlink>
      <w:r w:rsidRPr="001345FB">
        <w:rPr>
          <w:rFonts w:cs="Arial"/>
        </w:rPr>
        <w:t>.</w:t>
      </w:r>
    </w:p>
    <w:p w:rsidR="001345FB" w:rsidRPr="001345FB" w:rsidRDefault="001345FB" w:rsidP="001345FB">
      <w:pPr>
        <w:pStyle w:val="NGTHeading2"/>
        <w:numPr>
          <w:ilvl w:val="1"/>
          <w:numId w:val="1"/>
        </w:numPr>
        <w:tabs>
          <w:tab w:val="clear" w:pos="1702"/>
          <w:tab w:val="num" w:pos="567"/>
        </w:tabs>
        <w:ind w:left="567"/>
        <w:rPr>
          <w:rFonts w:cs="Arial"/>
          <w:szCs w:val="20"/>
        </w:rPr>
      </w:pPr>
      <w:r w:rsidRPr="001345FB">
        <w:rPr>
          <w:rFonts w:cs="Arial"/>
        </w:rPr>
        <w:t xml:space="preserve">Xoserve will carry out a credit assessment of each iGT, and will assign an unsecured Credit Limit.  </w:t>
      </w:r>
      <w:r w:rsidRPr="001345FB">
        <w:rPr>
          <w:rFonts w:cs="Arial"/>
          <w:szCs w:val="20"/>
        </w:rPr>
        <w:t xml:space="preserve">Xoserve will credit check each iGT for an acceptable published credit rating by an approved rating agency, and may make an assessment of any supporting data when making a decision to provide credit.  Dependent on the outcome of the credit assessment, each </w:t>
      </w:r>
      <w:r w:rsidRPr="001345FB">
        <w:rPr>
          <w:rFonts w:cs="Arial"/>
        </w:rPr>
        <w:t>iGT</w:t>
      </w:r>
      <w:r w:rsidRPr="001345FB">
        <w:rPr>
          <w:rFonts w:cs="Arial"/>
          <w:szCs w:val="20"/>
        </w:rPr>
        <w:t xml:space="preserve"> may be required to provide and to lodge with Xoserve security to the value of their Credit Limit in one of the specified forms.  Security provided and lodged by each iGT may be in the form of:</w:t>
      </w:r>
    </w:p>
    <w:p w:rsidR="001345FB" w:rsidRPr="001345FB" w:rsidRDefault="001345FB" w:rsidP="001345FB">
      <w:pPr>
        <w:pStyle w:val="NGTHeading2"/>
        <w:numPr>
          <w:ilvl w:val="2"/>
          <w:numId w:val="1"/>
        </w:numPr>
        <w:tabs>
          <w:tab w:val="num" w:pos="567"/>
        </w:tabs>
        <w:rPr>
          <w:rFonts w:cs="Arial"/>
          <w:szCs w:val="20"/>
        </w:rPr>
      </w:pPr>
      <w:r w:rsidRPr="001345FB">
        <w:rPr>
          <w:rFonts w:cs="Arial"/>
          <w:szCs w:val="20"/>
        </w:rPr>
        <w:t>A Letter of Credit; or</w:t>
      </w:r>
    </w:p>
    <w:p w:rsidR="001345FB" w:rsidRPr="001345FB" w:rsidRDefault="001345FB" w:rsidP="001345FB">
      <w:pPr>
        <w:pStyle w:val="NGTHeading2"/>
        <w:numPr>
          <w:ilvl w:val="2"/>
          <w:numId w:val="1"/>
        </w:numPr>
        <w:tabs>
          <w:tab w:val="num" w:pos="567"/>
        </w:tabs>
        <w:rPr>
          <w:rFonts w:cs="Arial"/>
          <w:sz w:val="22"/>
          <w:szCs w:val="22"/>
        </w:rPr>
      </w:pPr>
      <w:r w:rsidRPr="001345FB">
        <w:rPr>
          <w:rFonts w:cs="Arial"/>
          <w:szCs w:val="20"/>
        </w:rPr>
        <w:t>A Parent Company Guarantee.</w:t>
      </w:r>
    </w:p>
    <w:p w:rsidR="001345FB" w:rsidRPr="001345FB" w:rsidRDefault="001345FB" w:rsidP="001345FB">
      <w:pPr>
        <w:pStyle w:val="NGTHeading2"/>
        <w:numPr>
          <w:ilvl w:val="1"/>
          <w:numId w:val="1"/>
        </w:numPr>
        <w:tabs>
          <w:tab w:val="clear" w:pos="1702"/>
          <w:tab w:val="num" w:pos="567"/>
        </w:tabs>
        <w:ind w:left="567"/>
        <w:rPr>
          <w:rFonts w:cs="Arial"/>
          <w:szCs w:val="20"/>
        </w:rPr>
      </w:pPr>
      <w:r w:rsidRPr="001345FB">
        <w:rPr>
          <w:rFonts w:cs="Arial"/>
          <w:szCs w:val="20"/>
        </w:rPr>
        <w:t xml:space="preserve">The Xoserve Credit Risk Management Team will make templates for each form of security available to iGTs as required.  </w:t>
      </w:r>
    </w:p>
    <w:p w:rsidR="001345FB" w:rsidRPr="001345FB" w:rsidRDefault="001345FB" w:rsidP="001345FB">
      <w:pPr>
        <w:pStyle w:val="NGTHeading2"/>
        <w:numPr>
          <w:ilvl w:val="1"/>
          <w:numId w:val="1"/>
        </w:numPr>
        <w:tabs>
          <w:tab w:val="clear" w:pos="1702"/>
          <w:tab w:val="num" w:pos="567"/>
        </w:tabs>
        <w:ind w:left="567"/>
        <w:rPr>
          <w:rFonts w:cs="Arial"/>
          <w:szCs w:val="20"/>
        </w:rPr>
      </w:pPr>
      <w:r w:rsidRPr="001345FB">
        <w:rPr>
          <w:rFonts w:cs="Arial"/>
          <w:szCs w:val="20"/>
        </w:rPr>
        <w:t>Each iGT is required to ensure that all documentation appertaining to the application of the DSC Credit Policy and the DSC Credit Rules, including required securities, is completed accurately and is sent to Xoserve by 26 May 2017 at the following address:</w:t>
      </w:r>
    </w:p>
    <w:p w:rsidR="001345FB" w:rsidRPr="001345FB" w:rsidRDefault="001345FB" w:rsidP="001345FB">
      <w:pPr>
        <w:pStyle w:val="DefaultText"/>
        <w:ind w:left="414" w:firstLine="414"/>
        <w:rPr>
          <w:rFonts w:ascii="Arial" w:hAnsi="Arial" w:cs="Arial"/>
          <w:sz w:val="20"/>
          <w:szCs w:val="20"/>
        </w:rPr>
      </w:pPr>
      <w:r w:rsidRPr="001345FB">
        <w:rPr>
          <w:rFonts w:ascii="Arial" w:hAnsi="Arial" w:cs="Arial"/>
          <w:sz w:val="20"/>
          <w:szCs w:val="20"/>
        </w:rPr>
        <w:t xml:space="preserve">Credit Risk Management </w:t>
      </w:r>
    </w:p>
    <w:p w:rsidR="001345FB" w:rsidRPr="001345FB" w:rsidRDefault="001345FB" w:rsidP="001345FB">
      <w:pPr>
        <w:pStyle w:val="DefaultText"/>
        <w:ind w:left="414" w:firstLine="414"/>
        <w:rPr>
          <w:rFonts w:ascii="Arial" w:hAnsi="Arial" w:cs="Arial"/>
          <w:sz w:val="20"/>
          <w:szCs w:val="20"/>
        </w:rPr>
      </w:pPr>
      <w:r w:rsidRPr="001345FB">
        <w:rPr>
          <w:rFonts w:ascii="Arial" w:hAnsi="Arial" w:cs="Arial"/>
          <w:sz w:val="20"/>
          <w:szCs w:val="20"/>
        </w:rPr>
        <w:t>Xoserve Limited</w:t>
      </w:r>
    </w:p>
    <w:p w:rsidR="001345FB" w:rsidRPr="001345FB" w:rsidRDefault="001345FB" w:rsidP="001345FB">
      <w:pPr>
        <w:pStyle w:val="DefaultText"/>
        <w:ind w:left="414" w:firstLine="414"/>
        <w:rPr>
          <w:rFonts w:ascii="Arial" w:hAnsi="Arial" w:cs="Arial"/>
          <w:sz w:val="20"/>
          <w:szCs w:val="20"/>
        </w:rPr>
      </w:pPr>
      <w:r w:rsidRPr="001345FB">
        <w:rPr>
          <w:rFonts w:ascii="Arial" w:hAnsi="Arial" w:cs="Arial"/>
          <w:sz w:val="20"/>
          <w:szCs w:val="20"/>
        </w:rPr>
        <w:t>2nd Floor, Lansdowne Gate</w:t>
      </w:r>
    </w:p>
    <w:p w:rsidR="001345FB" w:rsidRPr="001345FB" w:rsidRDefault="001345FB" w:rsidP="001345FB">
      <w:pPr>
        <w:pStyle w:val="DefaultText"/>
        <w:ind w:left="414" w:firstLine="414"/>
        <w:rPr>
          <w:rFonts w:ascii="Arial" w:hAnsi="Arial" w:cs="Arial"/>
          <w:sz w:val="20"/>
          <w:szCs w:val="20"/>
        </w:rPr>
      </w:pPr>
      <w:r w:rsidRPr="001345FB">
        <w:rPr>
          <w:rFonts w:ascii="Arial" w:hAnsi="Arial" w:cs="Arial"/>
          <w:sz w:val="20"/>
          <w:szCs w:val="20"/>
        </w:rPr>
        <w:t>65 New Road</w:t>
      </w:r>
    </w:p>
    <w:p w:rsidR="001345FB" w:rsidRPr="001345FB" w:rsidRDefault="001345FB" w:rsidP="001345FB">
      <w:pPr>
        <w:pStyle w:val="DefaultText"/>
        <w:ind w:left="414" w:firstLine="414"/>
        <w:rPr>
          <w:rFonts w:ascii="Arial" w:hAnsi="Arial" w:cs="Arial"/>
          <w:sz w:val="20"/>
          <w:szCs w:val="20"/>
        </w:rPr>
      </w:pPr>
      <w:r w:rsidRPr="001345FB">
        <w:rPr>
          <w:rFonts w:ascii="Arial" w:hAnsi="Arial" w:cs="Arial"/>
          <w:sz w:val="20"/>
          <w:szCs w:val="20"/>
        </w:rPr>
        <w:t xml:space="preserve">Solihull </w:t>
      </w:r>
    </w:p>
    <w:p w:rsidR="001345FB" w:rsidRPr="001345FB" w:rsidRDefault="001345FB" w:rsidP="001345FB">
      <w:pPr>
        <w:pStyle w:val="DefaultText"/>
        <w:ind w:left="414" w:firstLine="414"/>
        <w:rPr>
          <w:rFonts w:ascii="Arial" w:hAnsi="Arial" w:cs="Arial"/>
          <w:sz w:val="20"/>
          <w:szCs w:val="20"/>
        </w:rPr>
      </w:pPr>
      <w:r w:rsidRPr="001345FB">
        <w:rPr>
          <w:rFonts w:ascii="Arial" w:hAnsi="Arial" w:cs="Arial"/>
          <w:sz w:val="20"/>
          <w:szCs w:val="20"/>
        </w:rPr>
        <w:t xml:space="preserve">West Midlands </w:t>
      </w:r>
    </w:p>
    <w:p w:rsidR="001345FB" w:rsidRPr="001345FB" w:rsidRDefault="001345FB" w:rsidP="001345FB">
      <w:pPr>
        <w:pStyle w:val="NGTHeading2"/>
        <w:ind w:left="108" w:firstLine="720"/>
        <w:rPr>
          <w:rFonts w:cs="Arial"/>
          <w:szCs w:val="20"/>
        </w:rPr>
      </w:pPr>
      <w:r w:rsidRPr="001345FB">
        <w:rPr>
          <w:rFonts w:cs="Arial"/>
          <w:szCs w:val="20"/>
        </w:rPr>
        <w:t>B91 3DL</w:t>
      </w:r>
    </w:p>
    <w:p w:rsidR="001345FB" w:rsidRPr="001345FB" w:rsidRDefault="001345FB" w:rsidP="001345FB">
      <w:pPr>
        <w:pStyle w:val="NGTHeading2"/>
        <w:numPr>
          <w:ilvl w:val="1"/>
          <w:numId w:val="1"/>
        </w:numPr>
        <w:tabs>
          <w:tab w:val="num" w:pos="567"/>
        </w:tabs>
        <w:ind w:left="567"/>
        <w:rPr>
          <w:rFonts w:cs="Arial"/>
        </w:rPr>
      </w:pPr>
      <w:r w:rsidRPr="001345FB">
        <w:rPr>
          <w:rFonts w:cs="Arial"/>
          <w:szCs w:val="20"/>
        </w:rPr>
        <w:t xml:space="preserve">Email communications with the Xoserve Credit Risk Management Team should be sent to </w:t>
      </w:r>
      <w:hyperlink r:id="rId18" w:history="1">
        <w:r w:rsidRPr="001345FB">
          <w:rPr>
            <w:rStyle w:val="Hyperlink"/>
            <w:rFonts w:cs="Arial"/>
          </w:rPr>
          <w:t>box.xoserve.CRM_Xoserve@xoserve.com</w:t>
        </w:r>
      </w:hyperlink>
      <w:r w:rsidRPr="001345FB">
        <w:rPr>
          <w:rFonts w:cs="Arial"/>
        </w:rPr>
        <w:t>.</w:t>
      </w:r>
    </w:p>
    <w:p w:rsidR="001345FB" w:rsidRPr="001345FB" w:rsidRDefault="001345FB" w:rsidP="001345FB">
      <w:pPr>
        <w:pStyle w:val="NGTHeading2"/>
        <w:numPr>
          <w:ilvl w:val="0"/>
          <w:numId w:val="1"/>
        </w:numPr>
        <w:rPr>
          <w:rFonts w:cs="Arial"/>
          <w:b/>
        </w:rPr>
      </w:pPr>
      <w:r w:rsidRPr="001345FB">
        <w:rPr>
          <w:rFonts w:cs="Arial"/>
          <w:b/>
        </w:rPr>
        <w:t>Ordering of Services</w:t>
      </w:r>
    </w:p>
    <w:p w:rsidR="001345FB" w:rsidRPr="001345FB" w:rsidRDefault="001345FB" w:rsidP="001345FB">
      <w:pPr>
        <w:pStyle w:val="NGTHeading2"/>
        <w:numPr>
          <w:ilvl w:val="1"/>
          <w:numId w:val="1"/>
        </w:numPr>
        <w:tabs>
          <w:tab w:val="num" w:pos="567"/>
        </w:tabs>
        <w:ind w:left="567"/>
        <w:rPr>
          <w:rFonts w:cs="Arial"/>
        </w:rPr>
      </w:pPr>
      <w:r w:rsidRPr="001345FB">
        <w:rPr>
          <w:rFonts w:cs="Arial"/>
        </w:rPr>
        <w:t>Each iGT is able to request Specific Services, details of which can be found in Part E of the CDSP Service Description Table</w:t>
      </w:r>
      <w:r w:rsidRPr="001345FB">
        <w:rPr>
          <w:rStyle w:val="FootnoteReference"/>
          <w:rFonts w:cs="Arial"/>
        </w:rPr>
        <w:footnoteReference w:id="4"/>
      </w:r>
      <w:r w:rsidRPr="001345FB">
        <w:rPr>
          <w:rFonts w:cs="Arial"/>
        </w:rPr>
        <w:t xml:space="preserve">.  A Specific Services Request Form is available to download </w:t>
      </w:r>
      <w:r w:rsidRPr="001345FB">
        <w:rPr>
          <w:rFonts w:cs="Arial"/>
        </w:rPr>
        <w:lastRenderedPageBreak/>
        <w:t xml:space="preserve">from the Xoserve website at </w:t>
      </w:r>
      <w:hyperlink r:id="rId19" w:history="1">
        <w:r w:rsidRPr="001345FB">
          <w:rPr>
            <w:rStyle w:val="Hyperlink"/>
            <w:rFonts w:cs="Arial"/>
          </w:rPr>
          <w:t>http://www.xoserve.com/wp-content/uploads/Specific-Services-Request-Form-Post-DSC.xlsx</w:t>
        </w:r>
      </w:hyperlink>
      <w:r w:rsidRPr="001345FB">
        <w:rPr>
          <w:rFonts w:cs="Arial"/>
        </w:rPr>
        <w:t>.</w:t>
      </w: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The requesting of Specific Services should be carried out by the nominated Individual Contract Manager in each iGT organisation.  </w:t>
      </w:r>
    </w:p>
    <w:p w:rsidR="001345FB" w:rsidRPr="001345FB" w:rsidRDefault="001345FB" w:rsidP="001345FB">
      <w:pPr>
        <w:pStyle w:val="NGTHeading2"/>
        <w:numPr>
          <w:ilvl w:val="1"/>
          <w:numId w:val="1"/>
        </w:numPr>
        <w:tabs>
          <w:tab w:val="num" w:pos="567"/>
        </w:tabs>
        <w:ind w:left="567"/>
        <w:rPr>
          <w:rFonts w:cs="Arial"/>
        </w:rPr>
      </w:pPr>
      <w:r w:rsidRPr="001345FB">
        <w:rPr>
          <w:rFonts w:cs="Arial"/>
        </w:rPr>
        <w:t>To assist with the request process, Xoserve will provide information to each iGT in respect of Data Enquiry and IX services that the organisation currently receives.</w:t>
      </w: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The process and timetable set out below are in respect of the ordering of Specific Services.  </w:t>
      </w:r>
    </w:p>
    <w:tbl>
      <w:tblPr>
        <w:tblStyle w:val="TableGrid"/>
        <w:tblW w:w="5000" w:type="pct"/>
        <w:tblLook w:val="04A0" w:firstRow="1" w:lastRow="0" w:firstColumn="1" w:lastColumn="0" w:noHBand="0" w:noVBand="1"/>
      </w:tblPr>
      <w:tblGrid>
        <w:gridCol w:w="693"/>
        <w:gridCol w:w="5479"/>
        <w:gridCol w:w="1525"/>
        <w:gridCol w:w="1545"/>
      </w:tblGrid>
      <w:tr w:rsidR="001345FB" w:rsidRPr="001345FB" w:rsidTr="001345FB">
        <w:tc>
          <w:tcPr>
            <w:tcW w:w="352" w:type="pct"/>
          </w:tcPr>
          <w:p w:rsidR="001345FB" w:rsidRPr="001345FB" w:rsidRDefault="001345FB" w:rsidP="001345FB">
            <w:pPr>
              <w:pStyle w:val="NGTHeading2"/>
              <w:rPr>
                <w:rFonts w:ascii="Arial" w:hAnsi="Arial" w:cs="Arial"/>
                <w:b/>
              </w:rPr>
            </w:pPr>
            <w:r w:rsidRPr="001345FB">
              <w:rPr>
                <w:rFonts w:ascii="Arial" w:hAnsi="Arial" w:cs="Arial"/>
                <w:b/>
              </w:rPr>
              <w:t>Step</w:t>
            </w:r>
          </w:p>
        </w:tc>
        <w:tc>
          <w:tcPr>
            <w:tcW w:w="3005" w:type="pct"/>
          </w:tcPr>
          <w:p w:rsidR="001345FB" w:rsidRPr="001345FB" w:rsidRDefault="001345FB" w:rsidP="001345FB">
            <w:pPr>
              <w:pStyle w:val="NGTHeading2"/>
              <w:rPr>
                <w:rFonts w:ascii="Arial" w:hAnsi="Arial" w:cs="Arial"/>
                <w:b/>
              </w:rPr>
            </w:pPr>
            <w:r w:rsidRPr="001345FB">
              <w:rPr>
                <w:rFonts w:ascii="Arial" w:hAnsi="Arial" w:cs="Arial"/>
                <w:b/>
              </w:rPr>
              <w:t>Action</w:t>
            </w:r>
          </w:p>
        </w:tc>
        <w:tc>
          <w:tcPr>
            <w:tcW w:w="767" w:type="pct"/>
          </w:tcPr>
          <w:p w:rsidR="001345FB" w:rsidRPr="001345FB" w:rsidRDefault="001345FB" w:rsidP="001345FB">
            <w:pPr>
              <w:pStyle w:val="NGTHeading2"/>
              <w:rPr>
                <w:rFonts w:ascii="Arial" w:hAnsi="Arial" w:cs="Arial"/>
                <w:b/>
              </w:rPr>
            </w:pPr>
            <w:r w:rsidRPr="001345FB">
              <w:rPr>
                <w:rFonts w:ascii="Arial" w:hAnsi="Arial" w:cs="Arial"/>
                <w:b/>
              </w:rPr>
              <w:t>Responsible</w:t>
            </w:r>
          </w:p>
        </w:tc>
        <w:tc>
          <w:tcPr>
            <w:tcW w:w="877" w:type="pct"/>
          </w:tcPr>
          <w:p w:rsidR="001345FB" w:rsidRPr="001345FB" w:rsidRDefault="001345FB" w:rsidP="001345FB">
            <w:pPr>
              <w:pStyle w:val="NGTHeading2"/>
              <w:rPr>
                <w:rFonts w:ascii="Arial" w:hAnsi="Arial" w:cs="Arial"/>
                <w:b/>
              </w:rPr>
            </w:pPr>
            <w:r w:rsidRPr="001345FB">
              <w:rPr>
                <w:rFonts w:ascii="Arial" w:hAnsi="Arial" w:cs="Arial"/>
                <w:b/>
              </w:rPr>
              <w:t>Date</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t>1</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Provide information to each iGT in respect of Data Enquiry and IX services currently received</w:t>
            </w:r>
          </w:p>
        </w:tc>
        <w:tc>
          <w:tcPr>
            <w:tcW w:w="767" w:type="pct"/>
          </w:tcPr>
          <w:p w:rsidR="001345FB" w:rsidRPr="001345FB" w:rsidRDefault="001345FB" w:rsidP="001345FB">
            <w:pPr>
              <w:pStyle w:val="NGTHeading2"/>
              <w:rPr>
                <w:rFonts w:ascii="Arial" w:hAnsi="Arial" w:cs="Arial"/>
              </w:rPr>
            </w:pPr>
            <w:r w:rsidRPr="001345FB">
              <w:rPr>
                <w:rFonts w:ascii="Arial" w:hAnsi="Arial" w:cs="Arial"/>
              </w:rPr>
              <w:t>Xoserve</w:t>
            </w:r>
          </w:p>
        </w:tc>
        <w:tc>
          <w:tcPr>
            <w:tcW w:w="877" w:type="pct"/>
          </w:tcPr>
          <w:p w:rsidR="001345FB" w:rsidRPr="001345FB" w:rsidRDefault="001345FB" w:rsidP="001345FB">
            <w:pPr>
              <w:pStyle w:val="NGTHeading2"/>
              <w:rPr>
                <w:rFonts w:ascii="Arial" w:hAnsi="Arial" w:cs="Arial"/>
              </w:rPr>
            </w:pPr>
            <w:r w:rsidRPr="001345FB">
              <w:rPr>
                <w:rFonts w:ascii="Arial" w:hAnsi="Arial" w:cs="Arial"/>
              </w:rPr>
              <w:t xml:space="preserve">By 13.04.2017 </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t>2</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 xml:space="preserve">Submit Specific Services Request Form to Xoserve </w:t>
            </w:r>
          </w:p>
        </w:tc>
        <w:tc>
          <w:tcPr>
            <w:tcW w:w="767" w:type="pct"/>
          </w:tcPr>
          <w:p w:rsidR="001345FB" w:rsidRPr="001345FB" w:rsidRDefault="001345FB" w:rsidP="001345FB">
            <w:pPr>
              <w:pStyle w:val="NGTHeading2"/>
              <w:rPr>
                <w:rFonts w:ascii="Arial" w:hAnsi="Arial" w:cs="Arial"/>
              </w:rPr>
            </w:pPr>
            <w:r w:rsidRPr="001345FB">
              <w:rPr>
                <w:rFonts w:ascii="Arial" w:hAnsi="Arial" w:cs="Arial"/>
              </w:rPr>
              <w:t>iGTs</w:t>
            </w:r>
          </w:p>
        </w:tc>
        <w:tc>
          <w:tcPr>
            <w:tcW w:w="877" w:type="pct"/>
          </w:tcPr>
          <w:p w:rsidR="001345FB" w:rsidRPr="001345FB" w:rsidRDefault="001345FB" w:rsidP="001345FB">
            <w:pPr>
              <w:pStyle w:val="NGTHeading2"/>
              <w:rPr>
                <w:rFonts w:ascii="Arial" w:hAnsi="Arial" w:cs="Arial"/>
              </w:rPr>
            </w:pPr>
            <w:r w:rsidRPr="001345FB">
              <w:rPr>
                <w:rFonts w:ascii="Arial" w:hAnsi="Arial" w:cs="Arial"/>
              </w:rPr>
              <w:t xml:space="preserve">By 09.05.2017 </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t>3</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 xml:space="preserve">Review and validate Specific Services Requests </w:t>
            </w:r>
          </w:p>
        </w:tc>
        <w:tc>
          <w:tcPr>
            <w:tcW w:w="767" w:type="pct"/>
          </w:tcPr>
          <w:p w:rsidR="001345FB" w:rsidRPr="001345FB" w:rsidRDefault="001345FB" w:rsidP="001345FB">
            <w:pPr>
              <w:pStyle w:val="NGTHeading2"/>
              <w:rPr>
                <w:rFonts w:ascii="Arial" w:hAnsi="Arial" w:cs="Arial"/>
              </w:rPr>
            </w:pPr>
            <w:r w:rsidRPr="001345FB">
              <w:rPr>
                <w:rFonts w:ascii="Arial" w:hAnsi="Arial" w:cs="Arial"/>
              </w:rPr>
              <w:t xml:space="preserve">Xoserve </w:t>
            </w:r>
          </w:p>
        </w:tc>
        <w:tc>
          <w:tcPr>
            <w:tcW w:w="877" w:type="pct"/>
          </w:tcPr>
          <w:p w:rsidR="001345FB" w:rsidRPr="001345FB" w:rsidRDefault="001345FB" w:rsidP="001345FB">
            <w:pPr>
              <w:pStyle w:val="NGTHeading2"/>
              <w:rPr>
                <w:rFonts w:ascii="Arial" w:hAnsi="Arial" w:cs="Arial"/>
              </w:rPr>
            </w:pPr>
            <w:r w:rsidRPr="001345FB">
              <w:rPr>
                <w:rFonts w:ascii="Arial" w:hAnsi="Arial" w:cs="Arial"/>
              </w:rPr>
              <w:t>By 16.05.2017</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t>4</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Confirm Specific Services effective from PNID</w:t>
            </w:r>
          </w:p>
        </w:tc>
        <w:tc>
          <w:tcPr>
            <w:tcW w:w="767" w:type="pct"/>
          </w:tcPr>
          <w:p w:rsidR="001345FB" w:rsidRPr="001345FB" w:rsidRDefault="001345FB" w:rsidP="001345FB">
            <w:pPr>
              <w:pStyle w:val="NGTHeading2"/>
              <w:rPr>
                <w:rFonts w:ascii="Arial" w:hAnsi="Arial" w:cs="Arial"/>
              </w:rPr>
            </w:pPr>
            <w:r w:rsidRPr="001345FB">
              <w:rPr>
                <w:rFonts w:ascii="Arial" w:hAnsi="Arial" w:cs="Arial"/>
              </w:rPr>
              <w:t>Xoserve</w:t>
            </w:r>
          </w:p>
        </w:tc>
        <w:tc>
          <w:tcPr>
            <w:tcW w:w="877" w:type="pct"/>
          </w:tcPr>
          <w:p w:rsidR="001345FB" w:rsidRPr="001345FB" w:rsidRDefault="001345FB" w:rsidP="001345FB">
            <w:pPr>
              <w:pStyle w:val="NGTHeading2"/>
              <w:rPr>
                <w:rFonts w:ascii="Arial" w:hAnsi="Arial" w:cs="Arial"/>
              </w:rPr>
            </w:pPr>
            <w:r w:rsidRPr="001345FB">
              <w:rPr>
                <w:rFonts w:ascii="Arial" w:hAnsi="Arial" w:cs="Arial"/>
              </w:rPr>
              <w:t>By 17.05.2017</w:t>
            </w:r>
          </w:p>
        </w:tc>
      </w:tr>
    </w:tbl>
    <w:p w:rsidR="001345FB" w:rsidRPr="001345FB" w:rsidRDefault="001345FB" w:rsidP="001345FB">
      <w:pPr>
        <w:pStyle w:val="NGTHeading2"/>
        <w:rPr>
          <w:rFonts w:cs="Arial"/>
        </w:rPr>
      </w:pP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For queries in respect of the ordering of Specific Services, please send an email to </w:t>
      </w:r>
      <w:hyperlink r:id="rId20" w:history="1">
        <w:r w:rsidRPr="001345FB">
          <w:rPr>
            <w:rStyle w:val="Hyperlink"/>
            <w:rFonts w:cs="Arial"/>
          </w:rPr>
          <w:t>Xoserve.userpays@xoserve.com</w:t>
        </w:r>
      </w:hyperlink>
      <w:r w:rsidRPr="001345FB">
        <w:rPr>
          <w:rStyle w:val="Hyperlink"/>
          <w:rFonts w:cs="Arial"/>
        </w:rPr>
        <w:t>.</w:t>
      </w: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Each iGT is also able to request Additional Services.  An Additional Services Request Form is available to download from the Xoserve website at </w:t>
      </w:r>
      <w:hyperlink r:id="rId21" w:history="1">
        <w:r w:rsidRPr="001345FB">
          <w:rPr>
            <w:rStyle w:val="Hyperlink"/>
            <w:rFonts w:cs="Arial"/>
          </w:rPr>
          <w:t>http://www.xoserve.com/wp-content/uploads/Additional-Services-Request-Form_v2.xlsx</w:t>
        </w:r>
      </w:hyperlink>
      <w:r w:rsidRPr="001345FB">
        <w:rPr>
          <w:rFonts w:cs="Arial"/>
        </w:rPr>
        <w:t>.</w:t>
      </w: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The requesting of Additional Services should be carried out by the nominated Individual Contract Manager in each iGT organisation. </w:t>
      </w: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The process and timetable set out below are in respect of the ordering of Additional Services.  </w:t>
      </w:r>
    </w:p>
    <w:tbl>
      <w:tblPr>
        <w:tblStyle w:val="TableGrid"/>
        <w:tblW w:w="5000" w:type="pct"/>
        <w:tblLook w:val="04A0" w:firstRow="1" w:lastRow="0" w:firstColumn="1" w:lastColumn="0" w:noHBand="0" w:noVBand="1"/>
      </w:tblPr>
      <w:tblGrid>
        <w:gridCol w:w="693"/>
        <w:gridCol w:w="5479"/>
        <w:gridCol w:w="1525"/>
        <w:gridCol w:w="1545"/>
      </w:tblGrid>
      <w:tr w:rsidR="001345FB" w:rsidRPr="001345FB" w:rsidTr="001345FB">
        <w:tc>
          <w:tcPr>
            <w:tcW w:w="352" w:type="pct"/>
          </w:tcPr>
          <w:p w:rsidR="001345FB" w:rsidRPr="001345FB" w:rsidRDefault="001345FB" w:rsidP="001345FB">
            <w:pPr>
              <w:pStyle w:val="NGTHeading2"/>
              <w:rPr>
                <w:rFonts w:ascii="Arial" w:hAnsi="Arial" w:cs="Arial"/>
                <w:b/>
              </w:rPr>
            </w:pPr>
            <w:r w:rsidRPr="001345FB">
              <w:rPr>
                <w:rFonts w:ascii="Arial" w:hAnsi="Arial" w:cs="Arial"/>
                <w:szCs w:val="20"/>
              </w:rPr>
              <w:t xml:space="preserve">          </w:t>
            </w:r>
            <w:r w:rsidRPr="001345FB">
              <w:rPr>
                <w:rFonts w:ascii="Arial" w:hAnsi="Arial" w:cs="Arial"/>
                <w:b/>
              </w:rPr>
              <w:t>Step</w:t>
            </w:r>
          </w:p>
        </w:tc>
        <w:tc>
          <w:tcPr>
            <w:tcW w:w="3005" w:type="pct"/>
          </w:tcPr>
          <w:p w:rsidR="001345FB" w:rsidRPr="001345FB" w:rsidRDefault="001345FB" w:rsidP="001345FB">
            <w:pPr>
              <w:pStyle w:val="NGTHeading2"/>
              <w:rPr>
                <w:rFonts w:ascii="Arial" w:hAnsi="Arial" w:cs="Arial"/>
                <w:b/>
              </w:rPr>
            </w:pPr>
            <w:r w:rsidRPr="001345FB">
              <w:rPr>
                <w:rFonts w:ascii="Arial" w:hAnsi="Arial" w:cs="Arial"/>
                <w:b/>
              </w:rPr>
              <w:t>Action</w:t>
            </w:r>
          </w:p>
        </w:tc>
        <w:tc>
          <w:tcPr>
            <w:tcW w:w="767" w:type="pct"/>
          </w:tcPr>
          <w:p w:rsidR="001345FB" w:rsidRPr="001345FB" w:rsidRDefault="001345FB" w:rsidP="001345FB">
            <w:pPr>
              <w:pStyle w:val="NGTHeading2"/>
              <w:rPr>
                <w:rFonts w:ascii="Arial" w:hAnsi="Arial" w:cs="Arial"/>
                <w:b/>
              </w:rPr>
            </w:pPr>
            <w:r w:rsidRPr="001345FB">
              <w:rPr>
                <w:rFonts w:ascii="Arial" w:hAnsi="Arial" w:cs="Arial"/>
                <w:b/>
              </w:rPr>
              <w:t>Responsible</w:t>
            </w:r>
          </w:p>
        </w:tc>
        <w:tc>
          <w:tcPr>
            <w:tcW w:w="876" w:type="pct"/>
          </w:tcPr>
          <w:p w:rsidR="001345FB" w:rsidRPr="001345FB" w:rsidRDefault="001345FB" w:rsidP="001345FB">
            <w:pPr>
              <w:pStyle w:val="NGTHeading2"/>
              <w:rPr>
                <w:rFonts w:ascii="Arial" w:hAnsi="Arial" w:cs="Arial"/>
                <w:b/>
              </w:rPr>
            </w:pPr>
            <w:r w:rsidRPr="001345FB">
              <w:rPr>
                <w:rFonts w:ascii="Arial" w:hAnsi="Arial" w:cs="Arial"/>
                <w:b/>
              </w:rPr>
              <w:t>Date</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t>1</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 xml:space="preserve">Submit Additional Services Request Form to Xoserve </w:t>
            </w:r>
          </w:p>
        </w:tc>
        <w:tc>
          <w:tcPr>
            <w:tcW w:w="767" w:type="pct"/>
          </w:tcPr>
          <w:p w:rsidR="001345FB" w:rsidRPr="001345FB" w:rsidRDefault="001345FB" w:rsidP="001345FB">
            <w:pPr>
              <w:pStyle w:val="NGTHeading2"/>
              <w:rPr>
                <w:rFonts w:ascii="Arial" w:hAnsi="Arial" w:cs="Arial"/>
              </w:rPr>
            </w:pPr>
            <w:r w:rsidRPr="001345FB">
              <w:rPr>
                <w:rFonts w:ascii="Arial" w:hAnsi="Arial" w:cs="Arial"/>
              </w:rPr>
              <w:t>iGTs</w:t>
            </w:r>
          </w:p>
        </w:tc>
        <w:tc>
          <w:tcPr>
            <w:tcW w:w="876" w:type="pct"/>
          </w:tcPr>
          <w:p w:rsidR="001345FB" w:rsidRPr="001345FB" w:rsidRDefault="001345FB" w:rsidP="001345FB">
            <w:pPr>
              <w:pStyle w:val="NGTHeading2"/>
              <w:rPr>
                <w:rFonts w:ascii="Arial" w:hAnsi="Arial" w:cs="Arial"/>
              </w:rPr>
            </w:pPr>
            <w:r w:rsidRPr="001345FB">
              <w:rPr>
                <w:rFonts w:ascii="Arial" w:hAnsi="Arial" w:cs="Arial"/>
              </w:rPr>
              <w:t xml:space="preserve">By 09.05.2017 </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t>2</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 xml:space="preserve">Review Additional Services Requests </w:t>
            </w:r>
          </w:p>
        </w:tc>
        <w:tc>
          <w:tcPr>
            <w:tcW w:w="767" w:type="pct"/>
          </w:tcPr>
          <w:p w:rsidR="001345FB" w:rsidRPr="001345FB" w:rsidRDefault="001345FB" w:rsidP="001345FB">
            <w:pPr>
              <w:pStyle w:val="NGTHeading2"/>
              <w:rPr>
                <w:rFonts w:ascii="Arial" w:hAnsi="Arial" w:cs="Arial"/>
              </w:rPr>
            </w:pPr>
            <w:r w:rsidRPr="001345FB">
              <w:rPr>
                <w:rFonts w:ascii="Arial" w:hAnsi="Arial" w:cs="Arial"/>
              </w:rPr>
              <w:t xml:space="preserve">Xoserve </w:t>
            </w:r>
          </w:p>
        </w:tc>
        <w:tc>
          <w:tcPr>
            <w:tcW w:w="876" w:type="pct"/>
          </w:tcPr>
          <w:p w:rsidR="001345FB" w:rsidRPr="001345FB" w:rsidRDefault="001345FB" w:rsidP="001345FB">
            <w:pPr>
              <w:pStyle w:val="NGTHeading2"/>
              <w:rPr>
                <w:rFonts w:ascii="Arial" w:hAnsi="Arial" w:cs="Arial"/>
              </w:rPr>
            </w:pPr>
            <w:r w:rsidRPr="001345FB">
              <w:rPr>
                <w:rFonts w:ascii="Arial" w:hAnsi="Arial" w:cs="Arial"/>
              </w:rPr>
              <w:t>By 16.05.2017</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t>3</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Send offers for Additional Services to iGTs</w:t>
            </w:r>
          </w:p>
        </w:tc>
        <w:tc>
          <w:tcPr>
            <w:tcW w:w="767" w:type="pct"/>
          </w:tcPr>
          <w:p w:rsidR="001345FB" w:rsidRPr="001345FB" w:rsidRDefault="001345FB" w:rsidP="001345FB">
            <w:pPr>
              <w:pStyle w:val="NGTHeading2"/>
              <w:rPr>
                <w:rFonts w:ascii="Arial" w:hAnsi="Arial" w:cs="Arial"/>
              </w:rPr>
            </w:pPr>
            <w:r w:rsidRPr="001345FB">
              <w:rPr>
                <w:rFonts w:ascii="Arial" w:hAnsi="Arial" w:cs="Arial"/>
              </w:rPr>
              <w:t>Xoserve</w:t>
            </w:r>
          </w:p>
        </w:tc>
        <w:tc>
          <w:tcPr>
            <w:tcW w:w="876" w:type="pct"/>
          </w:tcPr>
          <w:p w:rsidR="001345FB" w:rsidRPr="001345FB" w:rsidRDefault="001345FB" w:rsidP="001345FB">
            <w:pPr>
              <w:pStyle w:val="NGTHeading2"/>
              <w:rPr>
                <w:rFonts w:ascii="Arial" w:hAnsi="Arial" w:cs="Arial"/>
              </w:rPr>
            </w:pPr>
            <w:r w:rsidRPr="001345FB">
              <w:rPr>
                <w:rFonts w:ascii="Arial" w:hAnsi="Arial" w:cs="Arial"/>
              </w:rPr>
              <w:t>By 17.05.2017</w:t>
            </w:r>
          </w:p>
        </w:tc>
      </w:tr>
      <w:tr w:rsidR="001345FB" w:rsidRPr="001345FB" w:rsidTr="001345FB">
        <w:tc>
          <w:tcPr>
            <w:tcW w:w="352" w:type="pct"/>
          </w:tcPr>
          <w:p w:rsidR="001345FB" w:rsidRPr="001345FB" w:rsidRDefault="001345FB" w:rsidP="001345FB">
            <w:pPr>
              <w:pStyle w:val="NGTHeading2"/>
              <w:rPr>
                <w:rFonts w:ascii="Arial" w:hAnsi="Arial" w:cs="Arial"/>
              </w:rPr>
            </w:pPr>
            <w:r w:rsidRPr="001345FB">
              <w:rPr>
                <w:rFonts w:ascii="Arial" w:hAnsi="Arial" w:cs="Arial"/>
              </w:rPr>
              <w:lastRenderedPageBreak/>
              <w:t>4</w:t>
            </w:r>
          </w:p>
        </w:tc>
        <w:tc>
          <w:tcPr>
            <w:tcW w:w="3005" w:type="pct"/>
          </w:tcPr>
          <w:p w:rsidR="001345FB" w:rsidRPr="001345FB" w:rsidRDefault="001345FB" w:rsidP="001345FB">
            <w:pPr>
              <w:pStyle w:val="NGTHeading2"/>
              <w:rPr>
                <w:rFonts w:ascii="Arial" w:hAnsi="Arial" w:cs="Arial"/>
              </w:rPr>
            </w:pPr>
            <w:r w:rsidRPr="001345FB">
              <w:rPr>
                <w:rFonts w:ascii="Arial" w:hAnsi="Arial" w:cs="Arial"/>
              </w:rPr>
              <w:t>Accept offers for Additional Services</w:t>
            </w:r>
          </w:p>
        </w:tc>
        <w:tc>
          <w:tcPr>
            <w:tcW w:w="767" w:type="pct"/>
          </w:tcPr>
          <w:p w:rsidR="001345FB" w:rsidRPr="001345FB" w:rsidRDefault="001345FB" w:rsidP="001345FB">
            <w:pPr>
              <w:pStyle w:val="NGTHeading2"/>
              <w:rPr>
                <w:rFonts w:ascii="Arial" w:hAnsi="Arial" w:cs="Arial"/>
              </w:rPr>
            </w:pPr>
            <w:r w:rsidRPr="001345FB">
              <w:rPr>
                <w:rFonts w:ascii="Arial" w:hAnsi="Arial" w:cs="Arial"/>
              </w:rPr>
              <w:t>iGTs</w:t>
            </w:r>
          </w:p>
        </w:tc>
        <w:tc>
          <w:tcPr>
            <w:tcW w:w="876" w:type="pct"/>
          </w:tcPr>
          <w:p w:rsidR="001345FB" w:rsidRPr="001345FB" w:rsidRDefault="001345FB" w:rsidP="001345FB">
            <w:pPr>
              <w:pStyle w:val="NGTHeading2"/>
              <w:rPr>
                <w:rFonts w:ascii="Arial" w:hAnsi="Arial" w:cs="Arial"/>
              </w:rPr>
            </w:pPr>
            <w:r w:rsidRPr="001345FB">
              <w:rPr>
                <w:rFonts w:ascii="Arial" w:hAnsi="Arial" w:cs="Arial"/>
              </w:rPr>
              <w:t>By 24.05.2017</w:t>
            </w:r>
          </w:p>
        </w:tc>
      </w:tr>
    </w:tbl>
    <w:p w:rsidR="001345FB" w:rsidRPr="001345FB" w:rsidRDefault="001345FB" w:rsidP="001345FB">
      <w:pPr>
        <w:pStyle w:val="NGTHeading2"/>
        <w:rPr>
          <w:rFonts w:cs="Arial"/>
          <w:szCs w:val="20"/>
        </w:rPr>
      </w:pPr>
    </w:p>
    <w:p w:rsidR="001345FB" w:rsidRPr="001345FB" w:rsidRDefault="001345FB" w:rsidP="001345FB">
      <w:pPr>
        <w:pStyle w:val="NGTHeading2"/>
        <w:numPr>
          <w:ilvl w:val="1"/>
          <w:numId w:val="1"/>
        </w:numPr>
        <w:tabs>
          <w:tab w:val="num" w:pos="567"/>
        </w:tabs>
        <w:ind w:left="567"/>
        <w:rPr>
          <w:rFonts w:cs="Arial"/>
        </w:rPr>
      </w:pPr>
      <w:r w:rsidRPr="001345FB">
        <w:rPr>
          <w:rFonts w:cs="Arial"/>
        </w:rPr>
        <w:t xml:space="preserve">For queries in respect of the ordering of Additional Services, please send an email to </w:t>
      </w:r>
      <w:hyperlink r:id="rId22" w:history="1">
        <w:r w:rsidRPr="001345FB">
          <w:rPr>
            <w:rStyle w:val="Hyperlink"/>
            <w:rFonts w:cs="Arial"/>
          </w:rPr>
          <w:t>commercial.enquiries@xoserve.com</w:t>
        </w:r>
      </w:hyperlink>
      <w:r w:rsidRPr="001345FB">
        <w:rPr>
          <w:rFonts w:cs="Arial"/>
        </w:rPr>
        <w:t>.</w:t>
      </w:r>
    </w:p>
    <w:p w:rsidR="001345FB" w:rsidRPr="001345FB" w:rsidRDefault="001345FB" w:rsidP="001345FB">
      <w:pPr>
        <w:rPr>
          <w:rFonts w:eastAsia="Times New Roman" w:cs="Arial"/>
          <w:szCs w:val="24"/>
        </w:rPr>
      </w:pPr>
      <w:r w:rsidRPr="001345FB">
        <w:rPr>
          <w:rFonts w:cs="Arial"/>
        </w:rPr>
        <w:br w:type="page"/>
      </w:r>
    </w:p>
    <w:p w:rsidR="001345FB" w:rsidRPr="001345FB" w:rsidRDefault="001345FB" w:rsidP="001345FB">
      <w:pPr>
        <w:pStyle w:val="NGTHeading2"/>
        <w:tabs>
          <w:tab w:val="num" w:pos="1702"/>
        </w:tabs>
        <w:rPr>
          <w:rFonts w:cs="Arial"/>
          <w:b/>
        </w:rPr>
      </w:pPr>
      <w:r w:rsidRPr="001345FB">
        <w:rPr>
          <w:rFonts w:cs="Arial"/>
          <w:b/>
        </w:rPr>
        <w:lastRenderedPageBreak/>
        <w:t>Invoicing and Credit Management Information Template</w:t>
      </w:r>
    </w:p>
    <w:p w:rsidR="001345FB" w:rsidRPr="001345FB" w:rsidRDefault="001345FB" w:rsidP="001345FB">
      <w:pPr>
        <w:pStyle w:val="Heading1"/>
        <w:numPr>
          <w:ilvl w:val="0"/>
          <w:numId w:val="2"/>
        </w:numPr>
        <w:rPr>
          <w:rFonts w:ascii="Arial" w:hAnsi="Arial" w:cs="Arial"/>
          <w:color w:val="auto"/>
          <w:sz w:val="22"/>
          <w:szCs w:val="22"/>
          <w:u w:val="single"/>
        </w:rPr>
      </w:pPr>
      <w:r w:rsidRPr="001345FB">
        <w:rPr>
          <w:rFonts w:ascii="Arial" w:hAnsi="Arial" w:cs="Arial"/>
          <w:color w:val="auto"/>
          <w:sz w:val="22"/>
          <w:szCs w:val="22"/>
          <w:u w:val="single"/>
        </w:rPr>
        <w:t>Invoicing and Payment</w:t>
      </w:r>
    </w:p>
    <w:p w:rsidR="001345FB" w:rsidRPr="001345FB" w:rsidRDefault="001345FB" w:rsidP="001345FB">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4219"/>
        <w:gridCol w:w="5023"/>
      </w:tblGrid>
      <w:tr w:rsidR="001345FB" w:rsidRPr="001345FB" w:rsidTr="001345FB">
        <w:trPr>
          <w:trHeight w:val="746"/>
        </w:trPr>
        <w:tc>
          <w:tcPr>
            <w:tcW w:w="4219"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name of the representative in the organisation to whom invoices should be sent</w:t>
            </w:r>
          </w:p>
        </w:tc>
        <w:tc>
          <w:tcPr>
            <w:tcW w:w="5023"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435"/>
        </w:trPr>
        <w:tc>
          <w:tcPr>
            <w:tcW w:w="4219"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position of the Invoice  representative in the organisation</w:t>
            </w:r>
          </w:p>
        </w:tc>
        <w:tc>
          <w:tcPr>
            <w:tcW w:w="5023"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2263"/>
        </w:trPr>
        <w:tc>
          <w:tcPr>
            <w:tcW w:w="4219"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Invoice representative’s postal address</w:t>
            </w:r>
          </w:p>
        </w:tc>
        <w:tc>
          <w:tcPr>
            <w:tcW w:w="5023"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850"/>
        </w:trPr>
        <w:tc>
          <w:tcPr>
            <w:tcW w:w="4219"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invoice representative’s email address</w:t>
            </w:r>
          </w:p>
        </w:tc>
        <w:tc>
          <w:tcPr>
            <w:tcW w:w="5023"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974"/>
        </w:trPr>
        <w:tc>
          <w:tcPr>
            <w:tcW w:w="4219"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invoice representative’s telephone number</w:t>
            </w:r>
          </w:p>
        </w:tc>
        <w:tc>
          <w:tcPr>
            <w:tcW w:w="5023" w:type="dxa"/>
          </w:tcPr>
          <w:p w:rsidR="001345FB" w:rsidRPr="001345FB" w:rsidRDefault="001345FB" w:rsidP="001345FB">
            <w:pPr>
              <w:pStyle w:val="Default"/>
              <w:spacing w:after="327"/>
              <w:rPr>
                <w:rFonts w:ascii="Arial" w:hAnsi="Arial" w:cs="Arial"/>
                <w:sz w:val="20"/>
                <w:szCs w:val="20"/>
              </w:rPr>
            </w:pPr>
          </w:p>
        </w:tc>
      </w:tr>
      <w:tr w:rsidR="001345FB" w:rsidRPr="001345FB" w:rsidTr="001345FB">
        <w:tc>
          <w:tcPr>
            <w:tcW w:w="4219"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Invoicing additional Email addresses (</w:t>
            </w:r>
            <w:r w:rsidRPr="001345FB">
              <w:rPr>
                <w:rFonts w:ascii="Arial" w:hAnsi="Arial" w:cs="Arial"/>
                <w:i/>
                <w:sz w:val="20"/>
                <w:szCs w:val="20"/>
              </w:rPr>
              <w:t>optional)</w:t>
            </w:r>
          </w:p>
        </w:tc>
        <w:tc>
          <w:tcPr>
            <w:tcW w:w="5023" w:type="dxa"/>
          </w:tcPr>
          <w:p w:rsidR="001345FB" w:rsidRPr="001345FB" w:rsidRDefault="001345FB" w:rsidP="001345FB">
            <w:pPr>
              <w:pStyle w:val="Default"/>
              <w:spacing w:after="327"/>
              <w:rPr>
                <w:rFonts w:ascii="Arial" w:hAnsi="Arial" w:cs="Arial"/>
                <w:sz w:val="20"/>
                <w:szCs w:val="20"/>
              </w:rPr>
            </w:pPr>
          </w:p>
        </w:tc>
      </w:tr>
    </w:tbl>
    <w:p w:rsidR="001345FB" w:rsidRPr="001345FB" w:rsidRDefault="001345FB" w:rsidP="001345FB">
      <w:pPr>
        <w:pStyle w:val="Heading1"/>
        <w:numPr>
          <w:ilvl w:val="0"/>
          <w:numId w:val="2"/>
        </w:numPr>
        <w:rPr>
          <w:rFonts w:ascii="Arial" w:hAnsi="Arial" w:cs="Arial"/>
          <w:b w:val="0"/>
          <w:color w:val="auto"/>
          <w:sz w:val="20"/>
          <w:szCs w:val="20"/>
        </w:rPr>
      </w:pPr>
      <w:r w:rsidRPr="001345FB">
        <w:rPr>
          <w:rFonts w:ascii="Arial" w:hAnsi="Arial" w:cs="Arial"/>
          <w:color w:val="auto"/>
          <w:sz w:val="20"/>
          <w:szCs w:val="20"/>
        </w:rPr>
        <w:t>iGT Bank Account Details</w:t>
      </w:r>
      <w:r w:rsidRPr="001345FB">
        <w:rPr>
          <w:rFonts w:ascii="Arial" w:hAnsi="Arial" w:cs="Arial"/>
          <w:b w:val="0"/>
          <w:color w:val="auto"/>
          <w:sz w:val="20"/>
          <w:szCs w:val="20"/>
        </w:rPr>
        <w:t xml:space="preserve"> </w:t>
      </w:r>
    </w:p>
    <w:p w:rsidR="001345FB" w:rsidRPr="001345FB" w:rsidRDefault="001345FB" w:rsidP="001345FB">
      <w:pPr>
        <w:pStyle w:val="Default"/>
        <w:rPr>
          <w:rFonts w:ascii="Arial" w:hAnsi="Arial" w:cs="Arial"/>
          <w:sz w:val="20"/>
          <w:szCs w:val="20"/>
        </w:rPr>
      </w:pPr>
    </w:p>
    <w:tbl>
      <w:tblPr>
        <w:tblStyle w:val="TableGrid"/>
        <w:tblW w:w="9242" w:type="dxa"/>
        <w:tblLook w:val="04A0" w:firstRow="1" w:lastRow="0" w:firstColumn="1" w:lastColumn="0" w:noHBand="0" w:noVBand="1"/>
      </w:tblPr>
      <w:tblGrid>
        <w:gridCol w:w="3696"/>
        <w:gridCol w:w="5546"/>
      </w:tblGrid>
      <w:tr w:rsidR="001345FB" w:rsidRPr="001345FB" w:rsidTr="001345FB">
        <w:trPr>
          <w:trHeight w:val="521"/>
        </w:trPr>
        <w:tc>
          <w:tcPr>
            <w:tcW w:w="3696" w:type="dxa"/>
          </w:tcPr>
          <w:p w:rsidR="001345FB" w:rsidRPr="001345FB" w:rsidRDefault="001345FB" w:rsidP="001345FB">
            <w:pPr>
              <w:rPr>
                <w:rFonts w:ascii="Arial" w:hAnsi="Arial" w:cs="Arial"/>
              </w:rPr>
            </w:pPr>
            <w:r w:rsidRPr="001345FB">
              <w:rPr>
                <w:rFonts w:ascii="Arial" w:hAnsi="Arial" w:cs="Arial"/>
              </w:rPr>
              <w:t>Bank</w:t>
            </w:r>
          </w:p>
        </w:tc>
        <w:tc>
          <w:tcPr>
            <w:tcW w:w="5546" w:type="dxa"/>
          </w:tcPr>
          <w:p w:rsidR="001345FB" w:rsidRPr="001345FB" w:rsidRDefault="001345FB" w:rsidP="001345FB">
            <w:pPr>
              <w:rPr>
                <w:rFonts w:ascii="Arial" w:hAnsi="Arial" w:cs="Arial"/>
                <w:b/>
                <w:sz w:val="28"/>
                <w:szCs w:val="28"/>
              </w:rPr>
            </w:pPr>
          </w:p>
        </w:tc>
      </w:tr>
      <w:tr w:rsidR="001345FB" w:rsidRPr="001345FB" w:rsidTr="001345FB">
        <w:trPr>
          <w:trHeight w:val="428"/>
        </w:trPr>
        <w:tc>
          <w:tcPr>
            <w:tcW w:w="3696" w:type="dxa"/>
          </w:tcPr>
          <w:p w:rsidR="001345FB" w:rsidRPr="001345FB" w:rsidRDefault="001345FB" w:rsidP="001345FB">
            <w:pPr>
              <w:rPr>
                <w:rFonts w:ascii="Arial" w:hAnsi="Arial" w:cs="Arial"/>
              </w:rPr>
            </w:pPr>
            <w:r w:rsidRPr="001345FB">
              <w:rPr>
                <w:rFonts w:ascii="Arial" w:hAnsi="Arial" w:cs="Arial"/>
              </w:rPr>
              <w:t>Account Name</w:t>
            </w:r>
          </w:p>
        </w:tc>
        <w:tc>
          <w:tcPr>
            <w:tcW w:w="5546" w:type="dxa"/>
          </w:tcPr>
          <w:p w:rsidR="001345FB" w:rsidRPr="001345FB" w:rsidRDefault="001345FB" w:rsidP="001345FB">
            <w:pPr>
              <w:rPr>
                <w:rFonts w:ascii="Arial" w:hAnsi="Arial" w:cs="Arial"/>
              </w:rPr>
            </w:pPr>
          </w:p>
        </w:tc>
      </w:tr>
      <w:tr w:rsidR="001345FB" w:rsidRPr="001345FB" w:rsidTr="001345FB">
        <w:trPr>
          <w:trHeight w:val="407"/>
        </w:trPr>
        <w:tc>
          <w:tcPr>
            <w:tcW w:w="3696" w:type="dxa"/>
          </w:tcPr>
          <w:p w:rsidR="001345FB" w:rsidRPr="001345FB" w:rsidRDefault="001345FB" w:rsidP="001345FB">
            <w:pPr>
              <w:rPr>
                <w:rFonts w:ascii="Arial" w:hAnsi="Arial" w:cs="Arial"/>
              </w:rPr>
            </w:pPr>
            <w:r w:rsidRPr="001345FB">
              <w:rPr>
                <w:rFonts w:ascii="Arial" w:hAnsi="Arial" w:cs="Arial"/>
              </w:rPr>
              <w:t>Account Number</w:t>
            </w:r>
          </w:p>
        </w:tc>
        <w:tc>
          <w:tcPr>
            <w:tcW w:w="5546" w:type="dxa"/>
          </w:tcPr>
          <w:p w:rsidR="001345FB" w:rsidRPr="001345FB" w:rsidRDefault="001345FB" w:rsidP="001345FB">
            <w:pPr>
              <w:rPr>
                <w:rFonts w:ascii="Arial" w:hAnsi="Arial" w:cs="Arial"/>
              </w:rPr>
            </w:pPr>
          </w:p>
        </w:tc>
      </w:tr>
      <w:tr w:rsidR="001345FB" w:rsidRPr="001345FB" w:rsidTr="001345FB">
        <w:trPr>
          <w:trHeight w:val="413"/>
        </w:trPr>
        <w:tc>
          <w:tcPr>
            <w:tcW w:w="3696" w:type="dxa"/>
          </w:tcPr>
          <w:p w:rsidR="001345FB" w:rsidRPr="001345FB" w:rsidRDefault="001345FB" w:rsidP="001345FB">
            <w:pPr>
              <w:rPr>
                <w:rFonts w:ascii="Arial" w:hAnsi="Arial" w:cs="Arial"/>
              </w:rPr>
            </w:pPr>
            <w:r w:rsidRPr="001345FB">
              <w:rPr>
                <w:rFonts w:ascii="Arial" w:hAnsi="Arial" w:cs="Arial"/>
              </w:rPr>
              <w:t>Sort Code</w:t>
            </w:r>
          </w:p>
        </w:tc>
        <w:tc>
          <w:tcPr>
            <w:tcW w:w="5546" w:type="dxa"/>
          </w:tcPr>
          <w:p w:rsidR="001345FB" w:rsidRPr="001345FB" w:rsidRDefault="001345FB" w:rsidP="001345FB">
            <w:pPr>
              <w:rPr>
                <w:rFonts w:ascii="Arial" w:hAnsi="Arial" w:cs="Arial"/>
              </w:rPr>
            </w:pPr>
          </w:p>
        </w:tc>
      </w:tr>
      <w:tr w:rsidR="001345FB" w:rsidRPr="001345FB" w:rsidTr="001345FB">
        <w:tc>
          <w:tcPr>
            <w:tcW w:w="9242" w:type="dxa"/>
            <w:gridSpan w:val="2"/>
          </w:tcPr>
          <w:p w:rsidR="001345FB" w:rsidRPr="001345FB" w:rsidRDefault="001345FB" w:rsidP="001345FB">
            <w:pPr>
              <w:rPr>
                <w:rFonts w:ascii="Arial" w:hAnsi="Arial" w:cs="Arial"/>
              </w:rPr>
            </w:pPr>
            <w:r w:rsidRPr="001345FB">
              <w:rPr>
                <w:rFonts w:ascii="Arial" w:hAnsi="Arial" w:cs="Arial"/>
              </w:rPr>
              <w:t>If applicable (</w:t>
            </w:r>
            <w:r w:rsidRPr="001345FB">
              <w:rPr>
                <w:rFonts w:ascii="Arial" w:hAnsi="Arial" w:cs="Arial"/>
                <w:i/>
                <w:sz w:val="20"/>
                <w:szCs w:val="20"/>
              </w:rPr>
              <w:t>Overseas Banks</w:t>
            </w:r>
            <w:r w:rsidRPr="001345FB">
              <w:rPr>
                <w:rFonts w:ascii="Arial" w:hAnsi="Arial" w:cs="Arial"/>
              </w:rPr>
              <w:t>)</w:t>
            </w:r>
          </w:p>
        </w:tc>
      </w:tr>
      <w:tr w:rsidR="001345FB" w:rsidRPr="001345FB" w:rsidTr="001345FB">
        <w:trPr>
          <w:trHeight w:val="437"/>
        </w:trPr>
        <w:tc>
          <w:tcPr>
            <w:tcW w:w="3696" w:type="dxa"/>
          </w:tcPr>
          <w:p w:rsidR="001345FB" w:rsidRPr="001345FB" w:rsidRDefault="001345FB" w:rsidP="001345FB">
            <w:pPr>
              <w:rPr>
                <w:rFonts w:ascii="Arial" w:hAnsi="Arial" w:cs="Arial"/>
              </w:rPr>
            </w:pPr>
            <w:r w:rsidRPr="001345FB">
              <w:rPr>
                <w:rFonts w:ascii="Arial" w:hAnsi="Arial" w:cs="Arial"/>
              </w:rPr>
              <w:t>IBAN</w:t>
            </w:r>
          </w:p>
        </w:tc>
        <w:tc>
          <w:tcPr>
            <w:tcW w:w="5546" w:type="dxa"/>
          </w:tcPr>
          <w:p w:rsidR="001345FB" w:rsidRPr="001345FB" w:rsidRDefault="001345FB" w:rsidP="001345FB">
            <w:pPr>
              <w:rPr>
                <w:rFonts w:ascii="Arial" w:hAnsi="Arial" w:cs="Arial"/>
              </w:rPr>
            </w:pPr>
          </w:p>
        </w:tc>
      </w:tr>
      <w:tr w:rsidR="001345FB" w:rsidRPr="001345FB" w:rsidTr="001345FB">
        <w:trPr>
          <w:trHeight w:val="557"/>
        </w:trPr>
        <w:tc>
          <w:tcPr>
            <w:tcW w:w="3696" w:type="dxa"/>
          </w:tcPr>
          <w:p w:rsidR="001345FB" w:rsidRPr="001345FB" w:rsidRDefault="001345FB" w:rsidP="001345FB">
            <w:pPr>
              <w:rPr>
                <w:rFonts w:ascii="Arial" w:hAnsi="Arial" w:cs="Arial"/>
              </w:rPr>
            </w:pPr>
            <w:r w:rsidRPr="001345FB">
              <w:rPr>
                <w:rFonts w:ascii="Arial" w:hAnsi="Arial" w:cs="Arial"/>
              </w:rPr>
              <w:t>SWIFT BIC</w:t>
            </w:r>
          </w:p>
        </w:tc>
        <w:tc>
          <w:tcPr>
            <w:tcW w:w="5546" w:type="dxa"/>
          </w:tcPr>
          <w:p w:rsidR="001345FB" w:rsidRPr="001345FB" w:rsidRDefault="001345FB" w:rsidP="001345FB">
            <w:pPr>
              <w:rPr>
                <w:rFonts w:ascii="Arial" w:hAnsi="Arial" w:cs="Arial"/>
              </w:rPr>
            </w:pPr>
          </w:p>
        </w:tc>
      </w:tr>
    </w:tbl>
    <w:p w:rsidR="001345FB" w:rsidRPr="001345FB" w:rsidRDefault="001345FB" w:rsidP="001345FB">
      <w:pPr>
        <w:rPr>
          <w:rFonts w:cs="Arial"/>
        </w:rPr>
      </w:pPr>
    </w:p>
    <w:p w:rsidR="001345FB" w:rsidRPr="001345FB" w:rsidRDefault="001345FB" w:rsidP="001345FB">
      <w:pPr>
        <w:rPr>
          <w:rFonts w:cs="Arial"/>
        </w:rPr>
      </w:pPr>
      <w:r w:rsidRPr="001345FB">
        <w:rPr>
          <w:rFonts w:cs="Arial"/>
        </w:rPr>
        <w:br w:type="page"/>
      </w:r>
    </w:p>
    <w:p w:rsidR="001345FB" w:rsidRPr="001345FB" w:rsidRDefault="001345FB" w:rsidP="001345FB">
      <w:pPr>
        <w:pStyle w:val="Heading1"/>
        <w:numPr>
          <w:ilvl w:val="0"/>
          <w:numId w:val="2"/>
        </w:numPr>
        <w:rPr>
          <w:rFonts w:ascii="Arial" w:hAnsi="Arial" w:cs="Arial"/>
          <w:color w:val="auto"/>
          <w:sz w:val="22"/>
          <w:szCs w:val="22"/>
          <w:u w:val="single"/>
        </w:rPr>
      </w:pPr>
      <w:r w:rsidRPr="001345FB">
        <w:rPr>
          <w:rFonts w:ascii="Arial" w:hAnsi="Arial" w:cs="Arial"/>
          <w:color w:val="auto"/>
          <w:sz w:val="22"/>
          <w:szCs w:val="22"/>
          <w:u w:val="single"/>
        </w:rPr>
        <w:lastRenderedPageBreak/>
        <w:t>Credit Management</w:t>
      </w:r>
    </w:p>
    <w:p w:rsidR="001345FB" w:rsidRPr="001345FB" w:rsidRDefault="001345FB" w:rsidP="001345FB">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4077"/>
        <w:gridCol w:w="5165"/>
      </w:tblGrid>
      <w:tr w:rsidR="001345FB" w:rsidRPr="001345FB" w:rsidTr="001345FB">
        <w:trPr>
          <w:trHeight w:val="746"/>
        </w:trPr>
        <w:tc>
          <w:tcPr>
            <w:tcW w:w="4077"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 xml:space="preserve">The name of the Credit Management representative </w:t>
            </w:r>
          </w:p>
        </w:tc>
        <w:tc>
          <w:tcPr>
            <w:tcW w:w="5165"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934"/>
        </w:trPr>
        <w:tc>
          <w:tcPr>
            <w:tcW w:w="4077"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position of the Credit Management representative in the organisation</w:t>
            </w:r>
          </w:p>
        </w:tc>
        <w:tc>
          <w:tcPr>
            <w:tcW w:w="5165"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1527"/>
        </w:trPr>
        <w:tc>
          <w:tcPr>
            <w:tcW w:w="4077"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Credit Management representative’s Postal Address</w:t>
            </w:r>
          </w:p>
        </w:tc>
        <w:tc>
          <w:tcPr>
            <w:tcW w:w="5165" w:type="dxa"/>
          </w:tcPr>
          <w:p w:rsidR="001345FB" w:rsidRPr="001345FB" w:rsidRDefault="001345FB" w:rsidP="001345FB">
            <w:pPr>
              <w:pStyle w:val="Default"/>
              <w:spacing w:after="327"/>
              <w:rPr>
                <w:rFonts w:ascii="Arial" w:hAnsi="Arial" w:cs="Arial"/>
                <w:sz w:val="20"/>
                <w:szCs w:val="20"/>
              </w:rPr>
            </w:pPr>
          </w:p>
        </w:tc>
      </w:tr>
      <w:tr w:rsidR="001345FB" w:rsidRPr="001345FB" w:rsidTr="001345FB">
        <w:tc>
          <w:tcPr>
            <w:tcW w:w="4077"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Credit Management representative’s Email Address</w:t>
            </w:r>
          </w:p>
        </w:tc>
        <w:tc>
          <w:tcPr>
            <w:tcW w:w="5165"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611"/>
        </w:trPr>
        <w:tc>
          <w:tcPr>
            <w:tcW w:w="4077"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The Credit Management representative’s telephone number</w:t>
            </w:r>
          </w:p>
        </w:tc>
        <w:tc>
          <w:tcPr>
            <w:tcW w:w="5165" w:type="dxa"/>
          </w:tcPr>
          <w:p w:rsidR="001345FB" w:rsidRPr="001345FB" w:rsidRDefault="001345FB" w:rsidP="001345FB">
            <w:pPr>
              <w:pStyle w:val="Default"/>
              <w:spacing w:after="327"/>
              <w:rPr>
                <w:rFonts w:ascii="Arial" w:hAnsi="Arial" w:cs="Arial"/>
                <w:sz w:val="20"/>
                <w:szCs w:val="20"/>
              </w:rPr>
            </w:pPr>
          </w:p>
        </w:tc>
      </w:tr>
      <w:tr w:rsidR="001345FB" w:rsidRPr="001345FB" w:rsidTr="001345FB">
        <w:trPr>
          <w:trHeight w:val="611"/>
        </w:trPr>
        <w:tc>
          <w:tcPr>
            <w:tcW w:w="4077" w:type="dxa"/>
          </w:tcPr>
          <w:p w:rsidR="001345FB" w:rsidRPr="001345FB" w:rsidRDefault="001345FB" w:rsidP="001345FB">
            <w:pPr>
              <w:pStyle w:val="Default"/>
              <w:spacing w:after="327"/>
              <w:rPr>
                <w:rFonts w:ascii="Arial" w:hAnsi="Arial" w:cs="Arial"/>
                <w:sz w:val="20"/>
                <w:szCs w:val="20"/>
              </w:rPr>
            </w:pPr>
            <w:r w:rsidRPr="001345FB">
              <w:rPr>
                <w:rFonts w:ascii="Arial" w:hAnsi="Arial" w:cs="Arial"/>
                <w:sz w:val="20"/>
                <w:szCs w:val="20"/>
              </w:rPr>
              <w:t>Credit Management additional Email addresses (</w:t>
            </w:r>
            <w:r w:rsidRPr="001345FB">
              <w:rPr>
                <w:rFonts w:ascii="Arial" w:hAnsi="Arial" w:cs="Arial"/>
                <w:i/>
                <w:sz w:val="20"/>
                <w:szCs w:val="20"/>
              </w:rPr>
              <w:t>optional)</w:t>
            </w:r>
          </w:p>
        </w:tc>
        <w:tc>
          <w:tcPr>
            <w:tcW w:w="5165" w:type="dxa"/>
          </w:tcPr>
          <w:p w:rsidR="001345FB" w:rsidRPr="001345FB" w:rsidRDefault="001345FB" w:rsidP="001345FB">
            <w:pPr>
              <w:pStyle w:val="Default"/>
              <w:spacing w:after="327"/>
              <w:rPr>
                <w:rFonts w:ascii="Arial" w:hAnsi="Arial" w:cs="Arial"/>
                <w:sz w:val="20"/>
                <w:szCs w:val="20"/>
              </w:rPr>
            </w:pPr>
          </w:p>
        </w:tc>
      </w:tr>
    </w:tbl>
    <w:p w:rsidR="001345FB" w:rsidRPr="001345FB" w:rsidRDefault="001345FB" w:rsidP="001345FB">
      <w:pPr>
        <w:rPr>
          <w:rFonts w:cs="Arial"/>
        </w:rPr>
      </w:pPr>
    </w:p>
    <w:p w:rsidR="001345FB" w:rsidRPr="001345FB" w:rsidRDefault="001345FB" w:rsidP="001345FB">
      <w:pPr>
        <w:pStyle w:val="NGTHeading2"/>
        <w:tabs>
          <w:tab w:val="num" w:pos="1702"/>
        </w:tabs>
        <w:rPr>
          <w:rFonts w:cs="Arial"/>
          <w:b/>
        </w:rPr>
      </w:pPr>
    </w:p>
    <w:p w:rsidR="001345FB" w:rsidRPr="001345FB" w:rsidRDefault="001345FB" w:rsidP="001345FB">
      <w:pPr>
        <w:rPr>
          <w:rFonts w:cs="Arial"/>
          <w:sz w:val="24"/>
          <w:szCs w:val="24"/>
        </w:rPr>
      </w:pPr>
    </w:p>
    <w:p w:rsidR="00913EF2" w:rsidRPr="001345FB" w:rsidRDefault="00913EF2" w:rsidP="00913EF2">
      <w:pPr>
        <w:ind w:firstLine="720"/>
        <w:rPr>
          <w:rFonts w:cs="Arial"/>
        </w:rPr>
      </w:pPr>
    </w:p>
    <w:p w:rsidR="001345FB" w:rsidRPr="001345FB" w:rsidRDefault="001345FB">
      <w:pPr>
        <w:rPr>
          <w:rFonts w:ascii="Avenir LT Std 35 Light" w:hAnsi="Avenir LT Std 35 Light"/>
          <w:sz w:val="24"/>
          <w:szCs w:val="24"/>
        </w:rPr>
      </w:pPr>
    </w:p>
    <w:sectPr w:rsidR="001345FB" w:rsidRPr="001345FB">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FB" w:rsidRDefault="001345FB" w:rsidP="00913EF2">
      <w:pPr>
        <w:spacing w:after="0" w:line="240" w:lineRule="auto"/>
      </w:pPr>
      <w:r>
        <w:separator/>
      </w:r>
    </w:p>
  </w:endnote>
  <w:endnote w:type="continuationSeparator" w:id="0">
    <w:p w:rsidR="001345FB" w:rsidRDefault="001345F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FB" w:rsidRDefault="001345FB" w:rsidP="001345FB">
    <w:pPr>
      <w:pStyle w:val="Footer"/>
      <w:pBdr>
        <w:bottom w:val="single" w:sz="6" w:space="1" w:color="auto"/>
      </w:pBdr>
    </w:pPr>
  </w:p>
  <w:p w:rsidR="001345FB" w:rsidRPr="00182390" w:rsidRDefault="001345FB" w:rsidP="001345FB">
    <w:pPr>
      <w:pStyle w:val="Footer"/>
      <w:rPr>
        <w:rFonts w:cs="Arial"/>
        <w:sz w:val="16"/>
        <w:szCs w:val="16"/>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Pr>
        <w:rFonts w:cs="Arial"/>
        <w:noProof/>
        <w:sz w:val="16"/>
        <w:szCs w:val="16"/>
      </w:rPr>
      <w:t>DSC Information for iGTs FINAL</w:t>
    </w:r>
    <w:r>
      <w:rPr>
        <w:rFonts w:cs="Arial"/>
        <w:sz w:val="16"/>
        <w:szCs w:val="16"/>
      </w:rPr>
      <w:fldChar w:fldCharType="end"/>
    </w:r>
    <w:r>
      <w:rPr>
        <w:rFonts w:cs="Arial"/>
        <w:sz w:val="16"/>
        <w:szCs w:val="16"/>
      </w:rPr>
      <w:tab/>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404CFF">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404CFF">
      <w:rPr>
        <w:rFonts w:cs="Arial"/>
        <w:noProof/>
        <w:sz w:val="16"/>
        <w:szCs w:val="16"/>
      </w:rPr>
      <w:t>8</w:t>
    </w:r>
    <w:r>
      <w:rPr>
        <w:rFonts w:cs="Arial"/>
        <w:sz w:val="16"/>
        <w:szCs w:val="16"/>
      </w:rPr>
      <w:fldChar w:fldCharType="end"/>
    </w:r>
  </w:p>
  <w:p w:rsidR="001345FB" w:rsidRDefault="00134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FB" w:rsidRDefault="001345FB" w:rsidP="00913EF2">
      <w:pPr>
        <w:spacing w:after="0" w:line="240" w:lineRule="auto"/>
      </w:pPr>
      <w:r>
        <w:separator/>
      </w:r>
    </w:p>
  </w:footnote>
  <w:footnote w:type="continuationSeparator" w:id="0">
    <w:p w:rsidR="001345FB" w:rsidRDefault="001345FB" w:rsidP="00913EF2">
      <w:pPr>
        <w:spacing w:after="0" w:line="240" w:lineRule="auto"/>
      </w:pPr>
      <w:r>
        <w:continuationSeparator/>
      </w:r>
    </w:p>
  </w:footnote>
  <w:footnote w:id="1">
    <w:p w:rsidR="001345FB" w:rsidRPr="007378E7" w:rsidRDefault="001345FB" w:rsidP="001345FB">
      <w:pPr>
        <w:pStyle w:val="FootnoteText"/>
        <w:rPr>
          <w:rFonts w:ascii="Arial" w:hAnsi="Arial" w:cs="Arial"/>
          <w:sz w:val="16"/>
          <w:szCs w:val="16"/>
        </w:rPr>
      </w:pPr>
      <w:r w:rsidRPr="007378E7">
        <w:rPr>
          <w:rStyle w:val="FootnoteReference"/>
          <w:rFonts w:ascii="Arial" w:hAnsi="Arial" w:cs="Arial"/>
          <w:sz w:val="16"/>
          <w:szCs w:val="16"/>
        </w:rPr>
        <w:footnoteRef/>
      </w:r>
      <w:r w:rsidRPr="007378E7">
        <w:rPr>
          <w:rFonts w:ascii="Arial" w:hAnsi="Arial" w:cs="Arial"/>
          <w:sz w:val="16"/>
          <w:szCs w:val="16"/>
        </w:rPr>
        <w:t xml:space="preserve"> See </w:t>
      </w:r>
      <w:hyperlink r:id="rId1" w:history="1">
        <w:r w:rsidRPr="007378E7">
          <w:rPr>
            <w:rStyle w:val="Hyperlink"/>
            <w:rFonts w:ascii="Arial" w:hAnsi="Arial" w:cs="Arial"/>
            <w:sz w:val="16"/>
            <w:szCs w:val="16"/>
          </w:rPr>
          <w:t>https://www.ofgem.gov.uk/system/files/docs/2017/03/completion_of_xoserve_fgo_implementation_phase_letter.pdf</w:t>
        </w:r>
      </w:hyperlink>
    </w:p>
    <w:p w:rsidR="001345FB" w:rsidRDefault="001345FB" w:rsidP="001345FB">
      <w:pPr>
        <w:pStyle w:val="FootnoteText"/>
      </w:pPr>
    </w:p>
  </w:footnote>
  <w:footnote w:id="2">
    <w:p w:rsidR="001345FB" w:rsidRDefault="001345FB" w:rsidP="001345FB">
      <w:pPr>
        <w:pStyle w:val="FootnoteText"/>
        <w:rPr>
          <w:rFonts w:ascii="Arial" w:hAnsi="Arial" w:cs="Arial"/>
          <w:sz w:val="16"/>
          <w:szCs w:val="16"/>
        </w:rPr>
      </w:pPr>
      <w:r w:rsidRPr="00BB69CB">
        <w:rPr>
          <w:rStyle w:val="FootnoteReference"/>
          <w:rFonts w:ascii="Arial" w:hAnsi="Arial" w:cs="Arial"/>
          <w:sz w:val="16"/>
          <w:szCs w:val="16"/>
        </w:rPr>
        <w:footnoteRef/>
      </w:r>
      <w:r w:rsidRPr="00BB69CB">
        <w:rPr>
          <w:rFonts w:ascii="Arial" w:hAnsi="Arial" w:cs="Arial"/>
          <w:sz w:val="16"/>
          <w:szCs w:val="16"/>
        </w:rPr>
        <w:t xml:space="preserve"> See </w:t>
      </w:r>
      <w:hyperlink r:id="rId2" w:history="1">
        <w:r w:rsidRPr="00265E0B">
          <w:rPr>
            <w:rStyle w:val="Hyperlink"/>
            <w:rFonts w:ascii="Arial" w:hAnsi="Arial" w:cs="Arial"/>
            <w:sz w:val="16"/>
            <w:szCs w:val="16"/>
          </w:rPr>
          <w:t>http://www.xoserve.com/wp-content/uploads/BUDGET-AND-CHARGING-METHODOLOGY.pdf</w:t>
        </w:r>
      </w:hyperlink>
    </w:p>
    <w:p w:rsidR="001345FB" w:rsidRPr="00BB69CB" w:rsidRDefault="001345FB" w:rsidP="001345FB">
      <w:pPr>
        <w:pStyle w:val="FootnoteText"/>
        <w:rPr>
          <w:rFonts w:ascii="Arial" w:hAnsi="Arial" w:cs="Arial"/>
          <w:sz w:val="16"/>
          <w:szCs w:val="16"/>
        </w:rPr>
      </w:pPr>
    </w:p>
  </w:footnote>
  <w:footnote w:id="3">
    <w:p w:rsidR="001345FB" w:rsidRDefault="001345FB" w:rsidP="001345FB">
      <w:pPr>
        <w:pStyle w:val="FootnoteText"/>
        <w:rPr>
          <w:rFonts w:ascii="Arial" w:hAnsi="Arial" w:cs="Arial"/>
          <w:sz w:val="16"/>
          <w:szCs w:val="16"/>
        </w:rPr>
      </w:pPr>
      <w:r>
        <w:rPr>
          <w:rStyle w:val="FootnoteReference"/>
        </w:rPr>
        <w:footnoteRef/>
      </w:r>
      <w:r>
        <w:t xml:space="preserve"> </w:t>
      </w:r>
      <w:r w:rsidRPr="0098121E">
        <w:rPr>
          <w:rFonts w:ascii="Arial" w:hAnsi="Arial" w:cs="Arial"/>
          <w:sz w:val="16"/>
          <w:szCs w:val="16"/>
        </w:rPr>
        <w:t xml:space="preserve">See </w:t>
      </w:r>
      <w:hyperlink r:id="rId3" w:history="1">
        <w:r w:rsidRPr="00265E0B">
          <w:rPr>
            <w:rStyle w:val="Hyperlink"/>
            <w:rFonts w:ascii="Arial" w:hAnsi="Arial" w:cs="Arial"/>
            <w:sz w:val="16"/>
            <w:szCs w:val="16"/>
          </w:rPr>
          <w:t>http://www.xoserve.com/wp-content/uploads/CREDIT-POLICY.pdf</w:t>
        </w:r>
      </w:hyperlink>
    </w:p>
    <w:p w:rsidR="001345FB" w:rsidRDefault="001345FB" w:rsidP="001345FB">
      <w:pPr>
        <w:pStyle w:val="FootnoteText"/>
      </w:pPr>
    </w:p>
  </w:footnote>
  <w:footnote w:id="4">
    <w:p w:rsidR="001345FB" w:rsidRPr="00EC118E" w:rsidRDefault="001345FB" w:rsidP="001345FB">
      <w:pPr>
        <w:pStyle w:val="FootnoteText"/>
        <w:rPr>
          <w:rFonts w:ascii="Arial" w:hAnsi="Arial" w:cs="Arial"/>
          <w:sz w:val="16"/>
          <w:szCs w:val="16"/>
        </w:rPr>
      </w:pPr>
      <w:r w:rsidRPr="00EC118E">
        <w:rPr>
          <w:rStyle w:val="FootnoteReference"/>
          <w:rFonts w:ascii="Arial" w:hAnsi="Arial" w:cs="Arial"/>
          <w:sz w:val="16"/>
          <w:szCs w:val="16"/>
        </w:rPr>
        <w:footnoteRef/>
      </w:r>
      <w:r w:rsidRPr="00EC118E">
        <w:rPr>
          <w:rFonts w:ascii="Arial" w:hAnsi="Arial" w:cs="Arial"/>
          <w:sz w:val="16"/>
          <w:szCs w:val="16"/>
        </w:rPr>
        <w:t xml:space="preserve"> See </w:t>
      </w:r>
      <w:hyperlink r:id="rId4" w:history="1">
        <w:r w:rsidRPr="00EC118E">
          <w:rPr>
            <w:rStyle w:val="Hyperlink"/>
            <w:rFonts w:ascii="Arial" w:hAnsi="Arial" w:cs="Arial"/>
            <w:sz w:val="16"/>
            <w:szCs w:val="16"/>
          </w:rPr>
          <w:t>http://www.xoserve.com/wp-content/uploads/Service-Description-Table-V1.0-1st-April-2017.xlsx</w:t>
        </w:r>
      </w:hyperlink>
    </w:p>
    <w:p w:rsidR="001345FB" w:rsidRDefault="001345FB" w:rsidP="001345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FB" w:rsidRDefault="001345F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6" o:spid="_x0000_s2053" type="#_x0000_t75" style="position:absolute;margin-left:0;margin-top:0;width:595.2pt;height:841.9pt;z-index:-251657216;mso-position-horizontal:center;mso-position-horizontal-relative:margin;mso-position-vertical:center;mso-position-vertical-relative:margin" o:allowincell="f">
          <v:imagedata r:id="rId1" o:title="P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FB" w:rsidRDefault="001345F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7" o:spid="_x0000_s2054" type="#_x0000_t75" style="position:absolute;margin-left:0;margin-top:0;width:595.2pt;height:841.9pt;z-index:-251656192;mso-position-horizontal:center;mso-position-horizontal-relative:margin;mso-position-vertical:center;mso-position-vertical-relative:margin" o:allowincell="f">
          <v:imagedata r:id="rId1" o:title="Pa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FB" w:rsidRDefault="001345F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72585" o:spid="_x0000_s2052" type="#_x0000_t75" style="position:absolute;margin-left:0;margin-top:0;width:595.2pt;height:841.9pt;z-index:-251658240;mso-position-horizontal:center;mso-position-horizontal-relative:margin;mso-position-vertical:center;mso-position-vertical-relative:margin" o:allowincell="f">
          <v:imagedata r:id="rId1" o:title="P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F16"/>
    <w:multiLevelType w:val="multilevel"/>
    <w:tmpl w:val="2598BB9E"/>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702"/>
        </w:tabs>
        <w:ind w:left="1702" w:hanging="567"/>
      </w:pPr>
      <w:rPr>
        <w:rFonts w:ascii="Arial" w:hAnsi="Arial" w:hint="default"/>
        <w:b w:val="0"/>
        <w:i w:val="0"/>
        <w:color w:val="auto"/>
        <w:sz w:val="20"/>
        <w:szCs w:val="20"/>
      </w:rPr>
    </w:lvl>
    <w:lvl w:ilvl="2">
      <w:start w:val="1"/>
      <w:numFmt w:val="lowerLetter"/>
      <w:lvlText w:val="(%3)"/>
      <w:lvlJc w:val="left"/>
      <w:pPr>
        <w:tabs>
          <w:tab w:val="num" w:pos="1134"/>
        </w:tabs>
        <w:ind w:left="1134" w:hanging="567"/>
      </w:pPr>
      <w:rPr>
        <w:rFonts w:hint="default"/>
        <w:b w:val="0"/>
        <w:i w:val="0"/>
        <w:color w:val="auto"/>
      </w:rPr>
    </w:lvl>
    <w:lvl w:ilvl="3">
      <w:start w:val="1"/>
      <w:numFmt w:val="lowerRoman"/>
      <w:lvlText w:val="(%4)"/>
      <w:lvlJc w:val="left"/>
      <w:pPr>
        <w:tabs>
          <w:tab w:val="num" w:pos="1854"/>
        </w:tabs>
        <w:ind w:left="1701" w:hanging="567"/>
      </w:pPr>
      <w:rPr>
        <w:rFonts w:hint="default"/>
        <w:b w:val="0"/>
        <w:i w:val="0"/>
        <w:color w:val="auto"/>
      </w:rPr>
    </w:lvl>
    <w:lvl w:ilvl="4">
      <w:start w:val="1"/>
      <w:numFmt w:val="upperLetter"/>
      <w:lvlText w:val="(%5)"/>
      <w:lvlJc w:val="left"/>
      <w:pPr>
        <w:tabs>
          <w:tab w:val="num" w:pos="2268"/>
        </w:tabs>
        <w:ind w:left="2268" w:hanging="567"/>
      </w:pPr>
      <w:rPr>
        <w:rFonts w:hint="default"/>
        <w:b w:val="0"/>
        <w:i w:val="0"/>
        <w:color w:val="auto"/>
        <w:szCs w:val="20"/>
      </w:rPr>
    </w:lvl>
    <w:lvl w:ilvl="5">
      <w:start w:val="1"/>
      <w:numFmt w:val="decimal"/>
      <w:lvlText w:val="(%6)"/>
      <w:lvlJc w:val="left"/>
      <w:pPr>
        <w:tabs>
          <w:tab w:val="num" w:pos="2835"/>
        </w:tabs>
        <w:ind w:left="2835" w:hanging="567"/>
      </w:pPr>
      <w:rPr>
        <w:rFonts w:hint="default"/>
      </w:rPr>
    </w:lvl>
    <w:lvl w:ilvl="6">
      <w:start w:val="1"/>
      <w:numFmt w:val="upperRoman"/>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35DB49CA"/>
    <w:multiLevelType w:val="multilevel"/>
    <w:tmpl w:val="A3903B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F14ACE"/>
    <w:multiLevelType w:val="multilevel"/>
    <w:tmpl w:val="BAC0D0E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1345FB"/>
    <w:rsid w:val="00214089"/>
    <w:rsid w:val="002427E0"/>
    <w:rsid w:val="002E2C40"/>
    <w:rsid w:val="00404CFF"/>
    <w:rsid w:val="00913EF2"/>
    <w:rsid w:val="00D2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5F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5F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45FB"/>
    <w:pPr>
      <w:keepNext/>
      <w:keepLines/>
      <w:numPr>
        <w:ilvl w:val="2"/>
        <w:numId w:val="3"/>
      </w:numPr>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345FB"/>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345FB"/>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1345F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345FB"/>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345FB"/>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345FB"/>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character" w:customStyle="1" w:styleId="Heading1Char">
    <w:name w:val="Heading 1 Char"/>
    <w:basedOn w:val="DefaultParagraphFont"/>
    <w:link w:val="Heading1"/>
    <w:uiPriority w:val="9"/>
    <w:rsid w:val="001345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5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45F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345F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345F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345F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345F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345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45FB"/>
    <w:rPr>
      <w:rFonts w:asciiTheme="majorHAnsi" w:eastAsiaTheme="majorEastAsia" w:hAnsiTheme="majorHAnsi" w:cstheme="majorBidi"/>
      <w:i/>
      <w:iCs/>
      <w:color w:val="404040" w:themeColor="text1" w:themeTint="BF"/>
    </w:rPr>
  </w:style>
  <w:style w:type="paragraph" w:customStyle="1" w:styleId="NGTHeading1">
    <w:name w:val="*NGT Heading 1"/>
    <w:basedOn w:val="Normal"/>
    <w:next w:val="Normal"/>
    <w:rsid w:val="001345FB"/>
    <w:pPr>
      <w:keepNext/>
      <w:spacing w:line="360" w:lineRule="auto"/>
      <w:jc w:val="both"/>
    </w:pPr>
    <w:rPr>
      <w:rFonts w:eastAsia="Times New Roman" w:cs="Times New Roman"/>
      <w:b/>
      <w:szCs w:val="24"/>
    </w:rPr>
  </w:style>
  <w:style w:type="paragraph" w:customStyle="1" w:styleId="NGTHeading2">
    <w:name w:val="*NGT Heading 2"/>
    <w:basedOn w:val="Normal"/>
    <w:rsid w:val="001345FB"/>
    <w:pPr>
      <w:spacing w:line="360" w:lineRule="auto"/>
      <w:jc w:val="both"/>
    </w:pPr>
    <w:rPr>
      <w:rFonts w:eastAsia="Times New Roman" w:cs="Times New Roman"/>
      <w:szCs w:val="24"/>
    </w:rPr>
  </w:style>
  <w:style w:type="paragraph" w:customStyle="1" w:styleId="Default">
    <w:name w:val="Default"/>
    <w:rsid w:val="001345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345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5FB"/>
    <w:pPr>
      <w:spacing w:after="0"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1345FB"/>
    <w:rPr>
      <w:rFonts w:asciiTheme="minorHAnsi" w:hAnsiTheme="minorHAnsi"/>
    </w:rPr>
  </w:style>
  <w:style w:type="character" w:styleId="FootnoteReference">
    <w:name w:val="footnote reference"/>
    <w:basedOn w:val="DefaultParagraphFont"/>
    <w:uiPriority w:val="99"/>
    <w:semiHidden/>
    <w:unhideWhenUsed/>
    <w:rsid w:val="001345FB"/>
    <w:rPr>
      <w:vertAlign w:val="superscript"/>
    </w:rPr>
  </w:style>
  <w:style w:type="character" w:styleId="Hyperlink">
    <w:name w:val="Hyperlink"/>
    <w:basedOn w:val="DefaultParagraphFont"/>
    <w:uiPriority w:val="99"/>
    <w:unhideWhenUsed/>
    <w:rsid w:val="001345FB"/>
    <w:rPr>
      <w:color w:val="0000FF" w:themeColor="hyperlink"/>
      <w:u w:val="single"/>
    </w:rPr>
  </w:style>
  <w:style w:type="paragraph" w:customStyle="1" w:styleId="DefaultText">
    <w:name w:val="Default Text"/>
    <w:basedOn w:val="Normal"/>
    <w:rsid w:val="001345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5F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5F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45FB"/>
    <w:pPr>
      <w:keepNext/>
      <w:keepLines/>
      <w:numPr>
        <w:ilvl w:val="2"/>
        <w:numId w:val="3"/>
      </w:numPr>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345FB"/>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345FB"/>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1345F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345FB"/>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345FB"/>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345FB"/>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character" w:customStyle="1" w:styleId="Heading1Char">
    <w:name w:val="Heading 1 Char"/>
    <w:basedOn w:val="DefaultParagraphFont"/>
    <w:link w:val="Heading1"/>
    <w:uiPriority w:val="9"/>
    <w:rsid w:val="001345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5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45FB"/>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345F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345FB"/>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345F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345F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345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45FB"/>
    <w:rPr>
      <w:rFonts w:asciiTheme="majorHAnsi" w:eastAsiaTheme="majorEastAsia" w:hAnsiTheme="majorHAnsi" w:cstheme="majorBidi"/>
      <w:i/>
      <w:iCs/>
      <w:color w:val="404040" w:themeColor="text1" w:themeTint="BF"/>
    </w:rPr>
  </w:style>
  <w:style w:type="paragraph" w:customStyle="1" w:styleId="NGTHeading1">
    <w:name w:val="*NGT Heading 1"/>
    <w:basedOn w:val="Normal"/>
    <w:next w:val="Normal"/>
    <w:rsid w:val="001345FB"/>
    <w:pPr>
      <w:keepNext/>
      <w:spacing w:line="360" w:lineRule="auto"/>
      <w:jc w:val="both"/>
    </w:pPr>
    <w:rPr>
      <w:rFonts w:eastAsia="Times New Roman" w:cs="Times New Roman"/>
      <w:b/>
      <w:szCs w:val="24"/>
    </w:rPr>
  </w:style>
  <w:style w:type="paragraph" w:customStyle="1" w:styleId="NGTHeading2">
    <w:name w:val="*NGT Heading 2"/>
    <w:basedOn w:val="Normal"/>
    <w:rsid w:val="001345FB"/>
    <w:pPr>
      <w:spacing w:line="360" w:lineRule="auto"/>
      <w:jc w:val="both"/>
    </w:pPr>
    <w:rPr>
      <w:rFonts w:eastAsia="Times New Roman" w:cs="Times New Roman"/>
      <w:szCs w:val="24"/>
    </w:rPr>
  </w:style>
  <w:style w:type="paragraph" w:customStyle="1" w:styleId="Default">
    <w:name w:val="Default"/>
    <w:rsid w:val="001345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345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5FB"/>
    <w:pPr>
      <w:spacing w:after="0" w:line="240" w:lineRule="auto"/>
    </w:pPr>
    <w:rPr>
      <w:rFonts w:asciiTheme="minorHAnsi" w:hAnsiTheme="minorHAnsi"/>
    </w:rPr>
  </w:style>
  <w:style w:type="character" w:customStyle="1" w:styleId="FootnoteTextChar">
    <w:name w:val="Footnote Text Char"/>
    <w:basedOn w:val="DefaultParagraphFont"/>
    <w:link w:val="FootnoteText"/>
    <w:uiPriority w:val="99"/>
    <w:semiHidden/>
    <w:rsid w:val="001345FB"/>
    <w:rPr>
      <w:rFonts w:asciiTheme="minorHAnsi" w:hAnsiTheme="minorHAnsi"/>
    </w:rPr>
  </w:style>
  <w:style w:type="character" w:styleId="FootnoteReference">
    <w:name w:val="footnote reference"/>
    <w:basedOn w:val="DefaultParagraphFont"/>
    <w:uiPriority w:val="99"/>
    <w:semiHidden/>
    <w:unhideWhenUsed/>
    <w:rsid w:val="001345FB"/>
    <w:rPr>
      <w:vertAlign w:val="superscript"/>
    </w:rPr>
  </w:style>
  <w:style w:type="character" w:styleId="Hyperlink">
    <w:name w:val="Hyperlink"/>
    <w:basedOn w:val="DefaultParagraphFont"/>
    <w:uiPriority w:val="99"/>
    <w:unhideWhenUsed/>
    <w:rsid w:val="001345FB"/>
    <w:rPr>
      <w:color w:val="0000FF" w:themeColor="hyperlink"/>
      <w:u w:val="single"/>
    </w:rPr>
  </w:style>
  <w:style w:type="paragraph" w:customStyle="1" w:styleId="DefaultText">
    <w:name w:val="Default Text"/>
    <w:basedOn w:val="Normal"/>
    <w:rsid w:val="001345F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FGOQandA@xoserve.com" TargetMode="External"/><Relationship Id="rId18" Type="http://schemas.openxmlformats.org/officeDocument/2006/relationships/hyperlink" Target="mailto:box.xoserve.CRM_Xoserve@xoserv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xoserve.com/wp-content/uploads/Additional-Services-Request-Form_v2.xlsx"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box.xoserve.CRM_Xoserve@xoserv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ox.xoserve.CRM_Xoserve@xoserve.com" TargetMode="External"/><Relationship Id="rId20" Type="http://schemas.openxmlformats.org/officeDocument/2006/relationships/hyperlink" Target="mailto:Xoserve.userpays@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xoserve.com/wp-content/uploads/Xoserve-Annual-Charging-Statement-2017-18-v1.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xoserve.com/wp-content/uploads/Specific-Services-Request-Form-Post-DSC.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stomerlifecycle.spa@xoserve.com" TargetMode="External"/><Relationship Id="rId22" Type="http://schemas.openxmlformats.org/officeDocument/2006/relationships/hyperlink" Target="mailto:commercial.enquiries@xoserve.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xoserve.com/wp-content/uploads/CREDIT-POLICY.pdf" TargetMode="External"/><Relationship Id="rId2" Type="http://schemas.openxmlformats.org/officeDocument/2006/relationships/hyperlink" Target="http://www.xoserve.com/wp-content/uploads/BUDGET-AND-CHARGING-METHODOLOGY.pdf" TargetMode="External"/><Relationship Id="rId1" Type="http://schemas.openxmlformats.org/officeDocument/2006/relationships/hyperlink" Target="https://www.ofgem.gov.uk/system/files/docs/2017/03/completion_of_xoserve_fgo_implementation_phase_letter.pdf" TargetMode="External"/><Relationship Id="rId4" Type="http://schemas.openxmlformats.org/officeDocument/2006/relationships/hyperlink" Target="http://www.xoserve.com/wp-content/uploads/Service-Description-Table-V1.0-1st-April-2017.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2a985eae-c12e-416e-9833-85f34b1ee04e"/>
  </ds:schemaRefs>
</ds:datastoreItem>
</file>

<file path=customXml/itemProps4.xml><?xml version="1.0" encoding="utf-8"?>
<ds:datastoreItem xmlns:ds="http://schemas.openxmlformats.org/officeDocument/2006/customXml" ds:itemID="{757FFF25-D9B0-4E58-905F-D340EDC6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dcterms:created xsi:type="dcterms:W3CDTF">2017-04-27T08:52:00Z</dcterms:created>
  <dcterms:modified xsi:type="dcterms:W3CDTF">2017-04-27T08:52:00Z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ies>
</file>