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A43" w:rsidRDefault="006D7F16">
      <w:pPr>
        <w:spacing w:after="2763" w:line="259" w:lineRule="auto"/>
        <w:ind w:left="5825" w:right="0" w:firstLine="0"/>
        <w:jc w:val="left"/>
      </w:pPr>
      <w:r w:rsidRPr="006D7F16">
        <w:rPr>
          <w:noProof/>
        </w:rPr>
        <w:drawing>
          <wp:inline distT="0" distB="0" distL="0" distR="0">
            <wp:extent cx="25146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38150"/>
                    </a:xfrm>
                    <a:prstGeom prst="rect">
                      <a:avLst/>
                    </a:prstGeom>
                    <a:noFill/>
                    <a:ln>
                      <a:noFill/>
                    </a:ln>
                  </pic:spPr>
                </pic:pic>
              </a:graphicData>
            </a:graphic>
          </wp:inline>
        </w:drawing>
      </w:r>
    </w:p>
    <w:p w:rsidR="006C3A43" w:rsidRDefault="00E063EB">
      <w:pPr>
        <w:spacing w:after="0" w:line="265" w:lineRule="auto"/>
        <w:ind w:left="1613" w:right="0"/>
        <w:jc w:val="left"/>
      </w:pPr>
      <w:r>
        <w:rPr>
          <w:b/>
          <w:sz w:val="56"/>
        </w:rPr>
        <w:t>Uniform Network Code</w:t>
      </w:r>
    </w:p>
    <w:p w:rsidR="006C3A43" w:rsidRDefault="00E063EB">
      <w:pPr>
        <w:spacing w:after="5846" w:line="265" w:lineRule="auto"/>
        <w:ind w:left="609" w:right="0"/>
        <w:jc w:val="left"/>
      </w:pPr>
      <w:r>
        <w:rPr>
          <w:b/>
          <w:sz w:val="56"/>
        </w:rPr>
        <w:t>Operations Reporting Manual</w:t>
      </w:r>
    </w:p>
    <w:p w:rsidR="006C3A43" w:rsidRDefault="00D71C9F">
      <w:pPr>
        <w:spacing w:after="0" w:line="259" w:lineRule="auto"/>
        <w:ind w:left="0" w:right="103" w:firstLine="0"/>
        <w:jc w:val="right"/>
      </w:pPr>
      <w:r>
        <w:rPr>
          <w:b/>
          <w:sz w:val="47"/>
        </w:rPr>
        <w:t>Version 13</w:t>
      </w:r>
      <w:r w:rsidR="00E063EB">
        <w:rPr>
          <w:b/>
          <w:sz w:val="47"/>
        </w:rPr>
        <w:t>.0</w:t>
      </w:r>
    </w:p>
    <w:p w:rsidR="00E91097" w:rsidRDefault="00E91097">
      <w:pPr>
        <w:spacing w:after="0" w:line="259" w:lineRule="auto"/>
        <w:ind w:left="298" w:right="0" w:firstLine="0"/>
        <w:jc w:val="left"/>
        <w:rPr>
          <w:b/>
          <w:sz w:val="28"/>
        </w:rPr>
      </w:pPr>
    </w:p>
    <w:p w:rsidR="00E91097" w:rsidRDefault="00E91097">
      <w:pPr>
        <w:spacing w:after="0" w:line="259" w:lineRule="auto"/>
        <w:ind w:left="298" w:right="0" w:firstLine="0"/>
        <w:jc w:val="left"/>
        <w:rPr>
          <w:b/>
          <w:sz w:val="28"/>
        </w:rPr>
      </w:pPr>
    </w:p>
    <w:p w:rsidR="00E91097" w:rsidRDefault="00E91097">
      <w:pPr>
        <w:spacing w:after="0" w:line="259" w:lineRule="auto"/>
        <w:ind w:left="298" w:right="0" w:firstLine="0"/>
        <w:jc w:val="left"/>
        <w:rPr>
          <w:b/>
          <w:sz w:val="28"/>
        </w:rPr>
      </w:pPr>
    </w:p>
    <w:p w:rsidR="00E91097" w:rsidRDefault="00E91097">
      <w:pPr>
        <w:spacing w:after="0" w:line="259" w:lineRule="auto"/>
        <w:ind w:left="298" w:right="0" w:firstLine="0"/>
        <w:jc w:val="left"/>
        <w:rPr>
          <w:b/>
          <w:sz w:val="28"/>
        </w:rPr>
      </w:pPr>
    </w:p>
    <w:p w:rsidR="00E91097" w:rsidRDefault="00E91097">
      <w:pPr>
        <w:spacing w:after="0" w:line="259" w:lineRule="auto"/>
        <w:ind w:left="298" w:right="0" w:firstLine="0"/>
        <w:jc w:val="left"/>
        <w:rPr>
          <w:b/>
          <w:sz w:val="28"/>
        </w:rPr>
      </w:pPr>
    </w:p>
    <w:p w:rsidR="008354EB" w:rsidRDefault="008354EB">
      <w:pPr>
        <w:spacing w:after="160" w:line="259" w:lineRule="auto"/>
        <w:ind w:left="0" w:right="0" w:firstLine="0"/>
        <w:jc w:val="left"/>
        <w:rPr>
          <w:b/>
          <w:sz w:val="28"/>
        </w:rPr>
      </w:pPr>
    </w:p>
    <w:p w:rsidR="00E91097" w:rsidRPr="00E91097" w:rsidRDefault="00E91097">
      <w:pPr>
        <w:spacing w:after="160" w:line="259" w:lineRule="auto"/>
        <w:ind w:left="0" w:right="0" w:firstLine="0"/>
        <w:jc w:val="left"/>
        <w:rPr>
          <w:sz w:val="28"/>
          <w:szCs w:val="28"/>
        </w:rPr>
      </w:pPr>
      <w:r w:rsidRPr="00E91097">
        <w:rPr>
          <w:sz w:val="28"/>
          <w:szCs w:val="28"/>
        </w:rPr>
        <w:lastRenderedPageBreak/>
        <w:t>Review History</w:t>
      </w:r>
    </w:p>
    <w:p w:rsidR="00E91097" w:rsidRPr="00E91097" w:rsidRDefault="00E91097">
      <w:pPr>
        <w:spacing w:after="160" w:line="259" w:lineRule="auto"/>
        <w:ind w:left="0" w:right="0" w:firstLine="0"/>
        <w:jc w:val="left"/>
        <w:rPr>
          <w:b/>
        </w:rPr>
      </w:pPr>
      <w:r w:rsidRPr="00E91097">
        <w:rPr>
          <w:b/>
        </w:rPr>
        <w:t>Date of Review</w:t>
      </w:r>
      <w:r w:rsidRPr="00E91097">
        <w:rPr>
          <w:b/>
        </w:rPr>
        <w:tab/>
        <w:t>Outcome of Review</w:t>
      </w:r>
    </w:p>
    <w:p w:rsidR="00E91097" w:rsidRDefault="00E91097">
      <w:pPr>
        <w:spacing w:after="160" w:line="259" w:lineRule="auto"/>
        <w:ind w:left="0" w:right="0" w:firstLine="0"/>
        <w:jc w:val="left"/>
      </w:pPr>
      <w:r>
        <w:t>1997</w:t>
      </w:r>
      <w:r>
        <w:tab/>
      </w:r>
      <w:r>
        <w:tab/>
      </w:r>
      <w:r>
        <w:tab/>
        <w:t>Version 1.0 – NCOR Manual created and sent to shippers.</w:t>
      </w:r>
    </w:p>
    <w:p w:rsidR="00E91097" w:rsidRDefault="00E91097">
      <w:pPr>
        <w:spacing w:after="160" w:line="259" w:lineRule="auto"/>
        <w:ind w:left="0" w:right="0" w:firstLine="0"/>
        <w:jc w:val="left"/>
      </w:pPr>
      <w:r>
        <w:t>01/06/2001</w:t>
      </w:r>
      <w:r>
        <w:tab/>
      </w:r>
      <w:r>
        <w:tab/>
        <w:t>Version 3.0 – Amendments to NORM06 and NORM12 reports.</w:t>
      </w:r>
    </w:p>
    <w:p w:rsidR="00E91097" w:rsidRDefault="00E91097" w:rsidP="00E91097">
      <w:pPr>
        <w:spacing w:after="160" w:line="259" w:lineRule="auto"/>
        <w:ind w:left="2160" w:right="0" w:hanging="2160"/>
        <w:jc w:val="left"/>
      </w:pPr>
      <w:r>
        <w:t>22/04/2005</w:t>
      </w:r>
      <w:r>
        <w:tab/>
        <w:t>Version 4.0 – NCOR Manual first published to National Grid Web Site. Screenshots and definitions updated where necessary (full review of document undertaken).</w:t>
      </w:r>
    </w:p>
    <w:p w:rsidR="00E91097" w:rsidRDefault="00E91097" w:rsidP="00E91097">
      <w:pPr>
        <w:spacing w:after="160" w:line="259" w:lineRule="auto"/>
        <w:ind w:left="2160" w:right="0" w:hanging="2160"/>
        <w:jc w:val="left"/>
      </w:pPr>
      <w:r>
        <w:t>01/03/2006</w:t>
      </w:r>
      <w:r>
        <w:tab/>
        <w:t>Version 5.0 – Company name change to National Grid and AT Link replaced by Gemini – some changes to definitions and screenshots.</w:t>
      </w:r>
    </w:p>
    <w:p w:rsidR="008354EB" w:rsidRDefault="008354EB" w:rsidP="008354EB">
      <w:pPr>
        <w:spacing w:after="160" w:line="259" w:lineRule="auto"/>
        <w:ind w:left="2160" w:right="0" w:hanging="2160"/>
        <w:jc w:val="left"/>
      </w:pPr>
      <w:r>
        <w:t>Oct 2007</w:t>
      </w:r>
      <w:r>
        <w:tab/>
        <w:t>Version 6.0 – Change to incorporate the Data Dictionary developed as part of UNC Review Group 0140</w:t>
      </w:r>
    </w:p>
    <w:p w:rsidR="008354EB" w:rsidRDefault="008354EB" w:rsidP="008354EB">
      <w:pPr>
        <w:spacing w:after="0" w:line="259" w:lineRule="auto"/>
        <w:ind w:left="2160" w:right="2" w:hanging="2160"/>
        <w:jc w:val="left"/>
      </w:pPr>
      <w:r>
        <w:t>22/01/2009</w:t>
      </w:r>
      <w:r>
        <w:tab/>
        <w:t>Version 7.0 – Data Dictionary: Shrinkage data items updated following Modification 0203V Revision to DN Shrinkage Regime. Introductory text reviewed and updated. Approved at UNCC.</w:t>
      </w:r>
    </w:p>
    <w:p w:rsidR="008354EB" w:rsidRDefault="008354EB" w:rsidP="008354EB">
      <w:pPr>
        <w:spacing w:after="0" w:line="259" w:lineRule="auto"/>
        <w:ind w:left="2157" w:right="2" w:hanging="2085"/>
        <w:jc w:val="left"/>
      </w:pPr>
    </w:p>
    <w:p w:rsidR="008354EB" w:rsidRDefault="008354EB" w:rsidP="008354EB">
      <w:pPr>
        <w:spacing w:after="160" w:line="259" w:lineRule="auto"/>
        <w:ind w:left="2160" w:right="0" w:hanging="2160"/>
        <w:jc w:val="left"/>
      </w:pPr>
      <w:r>
        <w:t>16/11/2009</w:t>
      </w:r>
      <w:r>
        <w:tab/>
        <w:t>Version 8.0 – Change to incorporate amendments to Reports and Data Dictionary as a result of remaining UNC RG 140 recommendations &amp; new Mod requirements implemented as part of Phase 2 of MIPI Project.</w:t>
      </w:r>
    </w:p>
    <w:p w:rsidR="008354EB" w:rsidRDefault="008354EB" w:rsidP="008354EB">
      <w:pPr>
        <w:spacing w:after="160" w:line="259" w:lineRule="auto"/>
        <w:ind w:left="2160" w:right="0" w:hanging="2160"/>
        <w:jc w:val="left"/>
      </w:pPr>
      <w:r>
        <w:t>15/11/2010</w:t>
      </w:r>
      <w:r>
        <w:tab/>
        <w:t xml:space="preserve">Version 9.0 – Change to incorporate updated Data Dictionary following European Transparency Project </w:t>
      </w:r>
    </w:p>
    <w:p w:rsidR="008354EB" w:rsidRDefault="008354EB" w:rsidP="008354EB">
      <w:pPr>
        <w:spacing w:after="160" w:line="259" w:lineRule="auto"/>
        <w:ind w:left="2160" w:right="0" w:hanging="2160"/>
        <w:jc w:val="left"/>
      </w:pPr>
      <w:r>
        <w:t>17/05/2011</w:t>
      </w:r>
      <w:r>
        <w:tab/>
        <w:t xml:space="preserve">Version 10.0 – Change to incorporate updated Data Dictionary following UNC Modification 0090 “Revised DN Interruption Arrangements” and the introduction of a ‘Transitional Items’ tab </w:t>
      </w:r>
    </w:p>
    <w:p w:rsidR="008354EB" w:rsidRDefault="008354EB" w:rsidP="008354EB">
      <w:pPr>
        <w:spacing w:after="160" w:line="259" w:lineRule="auto"/>
        <w:ind w:left="2160" w:right="0" w:hanging="2160"/>
        <w:jc w:val="left"/>
      </w:pPr>
      <w:r>
        <w:t>21/08/2012</w:t>
      </w:r>
      <w:r>
        <w:tab/>
        <w:t>Version 11.0 – Change to remove references to the Lotus Notes Shipper Information System (SIS) in the Reporting Manual, and incorporate additional items in the Data Dictionary under ‘Capacity Exit’</w:t>
      </w:r>
    </w:p>
    <w:p w:rsidR="008354EB" w:rsidRDefault="008354EB" w:rsidP="008354EB">
      <w:pPr>
        <w:spacing w:after="160" w:line="259" w:lineRule="auto"/>
        <w:ind w:left="2160" w:right="0" w:hanging="2160"/>
        <w:jc w:val="left"/>
      </w:pPr>
      <w:r>
        <w:t>10/08/2015</w:t>
      </w:r>
      <w:r>
        <w:tab/>
        <w:t xml:space="preserve">Version 12.0 – Changes to amend existing data items as well as inclusion of new data items to achieve compliance with the requirements of the EU Network Codes </w:t>
      </w:r>
    </w:p>
    <w:p w:rsidR="006C3A43" w:rsidRDefault="007C30B7" w:rsidP="008354EB">
      <w:pPr>
        <w:spacing w:after="160" w:line="259" w:lineRule="auto"/>
        <w:ind w:left="2160" w:right="0" w:hanging="2160"/>
        <w:jc w:val="left"/>
      </w:pPr>
      <w:r>
        <w:rPr>
          <w:color w:val="auto"/>
        </w:rPr>
        <w:t>17/10</w:t>
      </w:r>
      <w:r w:rsidR="008354EB" w:rsidRPr="007C30B7">
        <w:rPr>
          <w:color w:val="auto"/>
        </w:rPr>
        <w:t>/2019</w:t>
      </w:r>
      <w:r w:rsidR="008354EB" w:rsidRPr="007C30B7">
        <w:rPr>
          <w:color w:val="auto"/>
        </w:rPr>
        <w:tab/>
        <w:t>Version 13.0 – Inclusion of GRMS Real Time NTS Demand and Aggregated Demand Category Data into the Data Dictionary.</w:t>
      </w:r>
      <w:r>
        <w:rPr>
          <w:color w:val="auto"/>
        </w:rPr>
        <w:t xml:space="preserve"> Approved at UNCC</w:t>
      </w:r>
      <w:bookmarkStart w:id="0" w:name="_GoBack"/>
      <w:bookmarkEnd w:id="0"/>
      <w:r w:rsidR="00E91097">
        <w:br w:type="page"/>
      </w:r>
    </w:p>
    <w:sdt>
      <w:sdtPr>
        <w:id w:val="-215736356"/>
        <w:docPartObj>
          <w:docPartGallery w:val="Table of Contents"/>
        </w:docPartObj>
      </w:sdtPr>
      <w:sdtEndPr/>
      <w:sdtContent>
        <w:p w:rsidR="006C3A43" w:rsidRDefault="00E063EB">
          <w:pPr>
            <w:spacing w:after="1202" w:line="259" w:lineRule="auto"/>
            <w:ind w:left="56" w:right="0" w:firstLine="0"/>
            <w:jc w:val="center"/>
          </w:pPr>
          <w:r>
            <w:rPr>
              <w:b/>
              <w:sz w:val="24"/>
            </w:rPr>
            <w:t>CONTENTS</w:t>
          </w:r>
        </w:p>
        <w:p w:rsidR="006C3A43" w:rsidRDefault="00E063EB">
          <w:pPr>
            <w:pStyle w:val="TOC1"/>
            <w:tabs>
              <w:tab w:val="right" w:leader="dot" w:pos="9044"/>
            </w:tabs>
          </w:pPr>
          <w:r>
            <w:fldChar w:fldCharType="begin"/>
          </w:r>
          <w:r>
            <w:instrText xml:space="preserve"> TOC \o "1-2" \h \z \u </w:instrText>
          </w:r>
          <w:r>
            <w:fldChar w:fldCharType="separate"/>
          </w:r>
          <w:hyperlink w:anchor="_Toc4308">
            <w:r>
              <w:t>1. INTRODUCTION</w:t>
            </w:r>
            <w:r>
              <w:tab/>
            </w:r>
            <w:r>
              <w:fldChar w:fldCharType="begin"/>
            </w:r>
            <w:r>
              <w:instrText>PAGEREF _Toc4308 \h</w:instrText>
            </w:r>
            <w:r>
              <w:fldChar w:fldCharType="separate"/>
            </w:r>
            <w:r w:rsidR="00D71C9F">
              <w:rPr>
                <w:noProof/>
              </w:rPr>
              <w:t>4</w:t>
            </w:r>
            <w:r>
              <w:fldChar w:fldCharType="end"/>
            </w:r>
          </w:hyperlink>
        </w:p>
        <w:p w:rsidR="006C3A43" w:rsidRDefault="00942EB6">
          <w:pPr>
            <w:pStyle w:val="TOC1"/>
            <w:tabs>
              <w:tab w:val="right" w:leader="dot" w:pos="9044"/>
            </w:tabs>
          </w:pPr>
          <w:hyperlink w:anchor="_Toc4309">
            <w:r w:rsidR="00E063EB">
              <w:t>2. BACKGROUND</w:t>
            </w:r>
            <w:r w:rsidR="00E063EB">
              <w:tab/>
            </w:r>
            <w:r w:rsidR="00E063EB">
              <w:fldChar w:fldCharType="begin"/>
            </w:r>
            <w:r w:rsidR="00E063EB">
              <w:instrText>PAGEREF _Toc4309 \h</w:instrText>
            </w:r>
            <w:r w:rsidR="00E063EB">
              <w:fldChar w:fldCharType="separate"/>
            </w:r>
            <w:r w:rsidR="00D71C9F">
              <w:rPr>
                <w:noProof/>
              </w:rPr>
              <w:t>4</w:t>
            </w:r>
            <w:r w:rsidR="00E063EB">
              <w:fldChar w:fldCharType="end"/>
            </w:r>
          </w:hyperlink>
        </w:p>
        <w:p w:rsidR="006C3A43" w:rsidRDefault="00942EB6">
          <w:pPr>
            <w:pStyle w:val="TOC1"/>
            <w:tabs>
              <w:tab w:val="right" w:leader="dot" w:pos="9044"/>
            </w:tabs>
          </w:pPr>
          <w:hyperlink w:anchor="_Toc4310">
            <w:r w:rsidR="00E063EB">
              <w:t>3. MODIFICATION</w:t>
            </w:r>
            <w:r w:rsidR="00E063EB">
              <w:tab/>
            </w:r>
            <w:r w:rsidR="00E063EB">
              <w:fldChar w:fldCharType="begin"/>
            </w:r>
            <w:r w:rsidR="00E063EB">
              <w:instrText>PAGEREF _Toc4310 \h</w:instrText>
            </w:r>
            <w:r w:rsidR="00E063EB">
              <w:fldChar w:fldCharType="separate"/>
            </w:r>
            <w:r w:rsidR="00D71C9F">
              <w:rPr>
                <w:noProof/>
              </w:rPr>
              <w:t>5</w:t>
            </w:r>
            <w:r w:rsidR="00E063EB">
              <w:fldChar w:fldCharType="end"/>
            </w:r>
          </w:hyperlink>
        </w:p>
        <w:p w:rsidR="006C3A43" w:rsidRDefault="00942EB6">
          <w:pPr>
            <w:pStyle w:val="TOC1"/>
            <w:tabs>
              <w:tab w:val="right" w:leader="dot" w:pos="9044"/>
            </w:tabs>
          </w:pPr>
          <w:hyperlink w:anchor="_Toc4311">
            <w:r w:rsidR="00E063EB">
              <w:t>4. OPERATIONAL DATA</w:t>
            </w:r>
            <w:r w:rsidR="00E063EB">
              <w:tab/>
            </w:r>
            <w:r w:rsidR="00E063EB">
              <w:fldChar w:fldCharType="begin"/>
            </w:r>
            <w:r w:rsidR="00E063EB">
              <w:instrText>PAGEREF _Toc4311 \h</w:instrText>
            </w:r>
            <w:r w:rsidR="00E063EB">
              <w:fldChar w:fldCharType="separate"/>
            </w:r>
            <w:r w:rsidR="00D71C9F">
              <w:rPr>
                <w:noProof/>
              </w:rPr>
              <w:t>5</w:t>
            </w:r>
            <w:r w:rsidR="00E063EB">
              <w:fldChar w:fldCharType="end"/>
            </w:r>
          </w:hyperlink>
        </w:p>
        <w:p w:rsidR="006C3A43" w:rsidRDefault="00942EB6">
          <w:pPr>
            <w:pStyle w:val="TOC2"/>
            <w:tabs>
              <w:tab w:val="right" w:leader="dot" w:pos="9044"/>
            </w:tabs>
          </w:pPr>
          <w:hyperlink w:anchor="_Toc4312">
            <w:r w:rsidR="00E063EB">
              <w:t>4.1. REPORT EXPLORER</w:t>
            </w:r>
            <w:r w:rsidR="00E063EB">
              <w:tab/>
            </w:r>
            <w:r w:rsidR="00E063EB">
              <w:fldChar w:fldCharType="begin"/>
            </w:r>
            <w:r w:rsidR="00E063EB">
              <w:instrText>PAGEREF _Toc4312 \h</w:instrText>
            </w:r>
            <w:r w:rsidR="00E063EB">
              <w:fldChar w:fldCharType="separate"/>
            </w:r>
            <w:r w:rsidR="00D71C9F">
              <w:rPr>
                <w:noProof/>
              </w:rPr>
              <w:t>5</w:t>
            </w:r>
            <w:r w:rsidR="00E063EB">
              <w:fldChar w:fldCharType="end"/>
            </w:r>
          </w:hyperlink>
        </w:p>
        <w:p w:rsidR="006C3A43" w:rsidRDefault="00942EB6">
          <w:pPr>
            <w:pStyle w:val="TOC2"/>
            <w:tabs>
              <w:tab w:val="right" w:leader="dot" w:pos="9044"/>
            </w:tabs>
          </w:pPr>
          <w:hyperlink w:anchor="_Toc4313">
            <w:r w:rsidR="00E063EB">
              <w:t>4.2. DATA DICTIONARY</w:t>
            </w:r>
            <w:r w:rsidR="00E063EB">
              <w:tab/>
            </w:r>
            <w:r w:rsidR="00E063EB">
              <w:fldChar w:fldCharType="begin"/>
            </w:r>
            <w:r w:rsidR="00E063EB">
              <w:instrText>PAGEREF _Toc4313 \h</w:instrText>
            </w:r>
            <w:r w:rsidR="00E063EB">
              <w:fldChar w:fldCharType="separate"/>
            </w:r>
            <w:r w:rsidR="00D71C9F">
              <w:rPr>
                <w:noProof/>
              </w:rPr>
              <w:t>5</w:t>
            </w:r>
            <w:r w:rsidR="00E063EB">
              <w:fldChar w:fldCharType="end"/>
            </w:r>
          </w:hyperlink>
        </w:p>
        <w:p w:rsidR="006C3A43" w:rsidRDefault="00E063EB">
          <w:r>
            <w:fldChar w:fldCharType="end"/>
          </w:r>
        </w:p>
      </w:sdtContent>
    </w:sdt>
    <w:p w:rsidR="008354EB" w:rsidRDefault="008354EB"/>
    <w:p w:rsidR="008354EB" w:rsidRDefault="008354EB"/>
    <w:p w:rsidR="008354EB" w:rsidRDefault="008354EB"/>
    <w:p w:rsidR="008354EB" w:rsidRDefault="008354EB"/>
    <w:p w:rsidR="008354EB" w:rsidRDefault="008354EB"/>
    <w:p w:rsidR="008354EB" w:rsidRDefault="008354EB"/>
    <w:p w:rsidR="008354EB" w:rsidRDefault="008354EB"/>
    <w:p w:rsidR="008354EB" w:rsidRDefault="008354EB"/>
    <w:p w:rsidR="008354EB" w:rsidRDefault="008354EB"/>
    <w:p w:rsidR="008354EB" w:rsidRDefault="008354EB"/>
    <w:p w:rsidR="008354EB" w:rsidRDefault="008354EB"/>
    <w:p w:rsidR="008354EB" w:rsidRDefault="008354EB"/>
    <w:p w:rsidR="008354EB" w:rsidRDefault="008354EB"/>
    <w:p w:rsidR="008354EB" w:rsidRDefault="008354EB"/>
    <w:p w:rsidR="008354EB" w:rsidRDefault="008354EB"/>
    <w:p w:rsidR="008354EB" w:rsidRDefault="008354EB"/>
    <w:p w:rsidR="008354EB" w:rsidRDefault="008354EB" w:rsidP="008354EB">
      <w:pPr>
        <w:pStyle w:val="Heading1"/>
        <w:ind w:left="407" w:hanging="422"/>
      </w:pPr>
      <w:bookmarkStart w:id="1" w:name="_Toc4308"/>
      <w:r>
        <w:lastRenderedPageBreak/>
        <w:t>INTRODUCTION</w:t>
      </w:r>
      <w:bookmarkEnd w:id="1"/>
    </w:p>
    <w:p w:rsidR="008354EB" w:rsidRDefault="008354EB" w:rsidP="008354EB">
      <w:pPr>
        <w:spacing w:after="296"/>
        <w:ind w:left="5" w:right="0"/>
      </w:pPr>
      <w:r>
        <w:t>This is the document referred to in TPD section V9.4.2 of the Uniform Network Code (“The Code”). The purpose of this document (“The Reporting Manual”) is to provide a summary of the gas data provided by National Grid, brief instructions on how to access the information, and definitions of the various Operational Data items that will be published.</w:t>
      </w:r>
    </w:p>
    <w:p w:rsidR="008354EB" w:rsidRDefault="008354EB" w:rsidP="008354EB">
      <w:pPr>
        <w:ind w:left="5" w:right="0"/>
      </w:pPr>
      <w:r>
        <w:t>Gas data is available to Users via the following service;</w:t>
      </w:r>
    </w:p>
    <w:p w:rsidR="008354EB" w:rsidRDefault="008354EB" w:rsidP="008354EB">
      <w:pPr>
        <w:spacing w:after="205"/>
        <w:ind w:left="370" w:right="0"/>
      </w:pPr>
      <w:r>
        <w:rPr>
          <w:rFonts w:ascii="Segoe UI Symbol" w:eastAsia="Segoe UI Symbol" w:hAnsi="Segoe UI Symbol" w:cs="Segoe UI Symbol"/>
        </w:rPr>
        <w:sym w:font="Wingdings" w:char="F09F"/>
      </w:r>
      <w:r>
        <w:rPr>
          <w:rFonts w:ascii="Segoe UI Symbol" w:eastAsia="Segoe UI Symbol" w:hAnsi="Segoe UI Symbol" w:cs="Segoe UI Symbol"/>
        </w:rPr>
        <w:t xml:space="preserve"> </w:t>
      </w:r>
      <w:r>
        <w:t>Operational Data area of National Grid Website</w:t>
      </w:r>
    </w:p>
    <w:p w:rsidR="008354EB" w:rsidRDefault="008354EB" w:rsidP="008354EB">
      <w:pPr>
        <w:numPr>
          <w:ilvl w:val="0"/>
          <w:numId w:val="1"/>
        </w:numPr>
        <w:ind w:right="0" w:hanging="360"/>
      </w:pPr>
      <w:r>
        <w:t>Report Explorer: Reports are updated on a daily basis and contain generic gas data relating to the operation of the system. The reports are downloadable in either a pdf or Excel report.</w:t>
      </w:r>
    </w:p>
    <w:p w:rsidR="008354EB" w:rsidRDefault="008354EB" w:rsidP="008354EB">
      <w:pPr>
        <w:numPr>
          <w:ilvl w:val="0"/>
          <w:numId w:val="1"/>
        </w:numPr>
        <w:ind w:right="0" w:hanging="360"/>
      </w:pPr>
      <w:r>
        <w:t>Data Item Explorer: Individual generic data items, published on the National Grid Website in csv / Excel format. A list of all available data items together with their respective definitions can be found within the Data Dictionary (See section 6 for more information).</w:t>
      </w:r>
    </w:p>
    <w:p w:rsidR="008354EB" w:rsidRDefault="008354EB" w:rsidP="008354EB">
      <w:pPr>
        <w:numPr>
          <w:ilvl w:val="0"/>
          <w:numId w:val="1"/>
        </w:numPr>
        <w:spacing w:after="290"/>
        <w:ind w:right="0" w:hanging="360"/>
      </w:pPr>
      <w:r>
        <w:t xml:space="preserve">Additional operational information: A range of additional information and reports relating to the operation of the system e.g. Capacity Auctions, Storage info </w:t>
      </w:r>
      <w:proofErr w:type="spellStart"/>
      <w:r>
        <w:t>etc</w:t>
      </w:r>
      <w:proofErr w:type="spellEnd"/>
    </w:p>
    <w:p w:rsidR="008354EB" w:rsidRDefault="008354EB" w:rsidP="008354EB">
      <w:pPr>
        <w:spacing w:after="306"/>
        <w:ind w:left="5" w:right="0"/>
      </w:pPr>
      <w:r>
        <w:t xml:space="preserve">National Grid NTS will use reasonable </w:t>
      </w:r>
      <w:proofErr w:type="spellStart"/>
      <w:r>
        <w:t>endeavours</w:t>
      </w:r>
      <w:proofErr w:type="spellEnd"/>
      <w:r>
        <w:t xml:space="preserve"> to ensure that all data items are updated in line with the frequency defined within the Data Dictionary section of this document. However, it should be noted that in a number of cases the data does not originate from National Grid NTS and National Grid NTS is reliant on a 3</w:t>
      </w:r>
      <w:r>
        <w:rPr>
          <w:vertAlign w:val="superscript"/>
        </w:rPr>
        <w:t xml:space="preserve">rd </w:t>
      </w:r>
      <w:r>
        <w:t>party providing it with the data.</w:t>
      </w:r>
    </w:p>
    <w:p w:rsidR="008354EB" w:rsidRDefault="008354EB" w:rsidP="008354EB">
      <w:pPr>
        <w:ind w:left="5" w:right="0"/>
      </w:pPr>
      <w:r>
        <w:t>The Reporting Manual also sets out the procedure for modifications to the data or reports and the distribution to those reports.</w:t>
      </w:r>
    </w:p>
    <w:p w:rsidR="008354EB" w:rsidRDefault="008354EB" w:rsidP="008354EB">
      <w:pPr>
        <w:spacing w:after="884"/>
        <w:ind w:left="5" w:right="0"/>
      </w:pPr>
      <w:r>
        <w:t>This document does not form a part of the “Code”.</w:t>
      </w:r>
    </w:p>
    <w:p w:rsidR="008354EB" w:rsidRDefault="008354EB" w:rsidP="008354EB">
      <w:pPr>
        <w:pStyle w:val="Heading1"/>
        <w:ind w:left="417" w:hanging="432"/>
      </w:pPr>
      <w:bookmarkStart w:id="2" w:name="_Toc4309"/>
      <w:r>
        <w:t>BACKGROUND</w:t>
      </w:r>
      <w:bookmarkEnd w:id="2"/>
    </w:p>
    <w:p w:rsidR="008354EB" w:rsidRDefault="008354EB" w:rsidP="008354EB">
      <w:pPr>
        <w:spacing w:after="301"/>
        <w:ind w:left="5" w:right="0"/>
      </w:pPr>
      <w:r>
        <w:t>The information contained within the Operational Data (together “the Information”) is made available as an information service only and National Grid NTS do not assume any responsibility for the accuracy of or the content of the Information including without limitation, any delay that may occur in making available the Information. National Grid NTS does not assume any responsibility for the variation, amendment, modification or any other alteration to the Information subsequent to its receipt by Shippers or 3</w:t>
      </w:r>
      <w:r>
        <w:rPr>
          <w:vertAlign w:val="superscript"/>
        </w:rPr>
        <w:t xml:space="preserve">rd </w:t>
      </w:r>
      <w:r>
        <w:t>Parties.</w:t>
      </w:r>
    </w:p>
    <w:p w:rsidR="008354EB" w:rsidRDefault="008354EB" w:rsidP="008354EB">
      <w:pPr>
        <w:ind w:left="5" w:right="0"/>
      </w:pPr>
      <w:r>
        <w:t>The Information is not in substitution of that information provided to Users for the purposes of determining amounts payable by Users to National Grid NTS, or by National Grid NTS to Users in accordance with the Code and the format, content and frequency of the Reports have been developed for information purposes only and not for use by User's for financial analysis purposes or the audit of amounts payable to National Grid NTS.</w:t>
      </w:r>
    </w:p>
    <w:p w:rsidR="008354EB" w:rsidRDefault="008354EB" w:rsidP="008354EB">
      <w:pPr>
        <w:pStyle w:val="Heading1"/>
        <w:ind w:left="705" w:hanging="720"/>
      </w:pPr>
      <w:bookmarkStart w:id="3" w:name="_Toc4310"/>
      <w:r>
        <w:lastRenderedPageBreak/>
        <w:t>MODIFICATION</w:t>
      </w:r>
      <w:bookmarkEnd w:id="3"/>
    </w:p>
    <w:p w:rsidR="008354EB" w:rsidRDefault="008354EB" w:rsidP="008354EB">
      <w:pPr>
        <w:spacing w:after="1155"/>
        <w:ind w:left="5" w:right="0"/>
      </w:pPr>
      <w:r>
        <w:t>National Grid NTS and the Uniform Network Code Committee or any relevant Sub Committee will meet to discuss modifications to this Report Manual as required and National Grid NTS will consider revisions to the Reporting Manual in the light of these discussions</w:t>
      </w:r>
      <w:r>
        <w:rPr>
          <w:b/>
          <w:sz w:val="25"/>
        </w:rPr>
        <w:t xml:space="preserve">. </w:t>
      </w:r>
      <w:r>
        <w:t>All modifications will also be presented to the UK Link committee for information only.</w:t>
      </w:r>
    </w:p>
    <w:p w:rsidR="008354EB" w:rsidRDefault="008354EB" w:rsidP="008354EB">
      <w:pPr>
        <w:pStyle w:val="Heading1"/>
        <w:ind w:left="705" w:hanging="720"/>
      </w:pPr>
      <w:bookmarkStart w:id="4" w:name="_Toc4311"/>
      <w:r>
        <w:t>OPERATIONAL DATA</w:t>
      </w:r>
      <w:bookmarkEnd w:id="4"/>
    </w:p>
    <w:p w:rsidR="00F310EA" w:rsidRDefault="008354EB" w:rsidP="008354EB">
      <w:pPr>
        <w:spacing w:after="313"/>
        <w:ind w:left="5" w:right="0"/>
      </w:pPr>
      <w:r>
        <w:t>All Operational Data described in the sections below can be found within the Operational Data section of the National Grid website</w:t>
      </w:r>
      <w:r>
        <w:rPr>
          <w:color w:val="0000FF"/>
        </w:rPr>
        <w:t>:</w:t>
      </w:r>
      <w:r w:rsidR="00F310EA" w:rsidRPr="00F310EA">
        <w:t xml:space="preserve"> </w:t>
      </w:r>
    </w:p>
    <w:p w:rsidR="008354EB" w:rsidRDefault="00942EB6" w:rsidP="008354EB">
      <w:pPr>
        <w:spacing w:after="313"/>
        <w:ind w:left="5" w:right="0"/>
        <w:rPr>
          <w:color w:val="0000FF"/>
        </w:rPr>
      </w:pPr>
      <w:hyperlink r:id="rId9" w:history="1">
        <w:r w:rsidR="00F310EA" w:rsidRPr="006254E0">
          <w:rPr>
            <w:rStyle w:val="Hyperlink"/>
          </w:rPr>
          <w:t>https://www.nationalgridgas.com/data-and-operations</w:t>
        </w:r>
      </w:hyperlink>
    </w:p>
    <w:p w:rsidR="00F310EA" w:rsidRDefault="00F310EA" w:rsidP="008354EB">
      <w:pPr>
        <w:spacing w:after="313"/>
        <w:ind w:left="5" w:right="0"/>
      </w:pPr>
    </w:p>
    <w:p w:rsidR="008354EB" w:rsidRDefault="008354EB" w:rsidP="008354EB">
      <w:pPr>
        <w:pStyle w:val="Heading2"/>
        <w:ind w:left="503" w:hanging="518"/>
      </w:pPr>
      <w:bookmarkStart w:id="5" w:name="_Toc4312"/>
      <w:r>
        <w:t>REPORT EXPLORER</w:t>
      </w:r>
      <w:bookmarkEnd w:id="5"/>
    </w:p>
    <w:p w:rsidR="008354EB" w:rsidRDefault="008354EB" w:rsidP="008354EB">
      <w:pPr>
        <w:ind w:left="5" w:right="0"/>
      </w:pPr>
      <w:r>
        <w:t>The Report Explorer allows users to download a number of useful pre-defined reports that include a number of the data items available individually via the Data Item Explorer and as defined within the Data Dictionary.</w:t>
      </w:r>
    </w:p>
    <w:p w:rsidR="00F310EA" w:rsidRDefault="008354EB" w:rsidP="008354EB">
      <w:pPr>
        <w:spacing w:after="248"/>
        <w:ind w:left="-5" w:right="0"/>
        <w:jc w:val="left"/>
      </w:pPr>
      <w:r>
        <w:t xml:space="preserve">To access the Report Explorer please use the following link: </w:t>
      </w:r>
    </w:p>
    <w:p w:rsidR="00F310EA" w:rsidRDefault="00942EB6" w:rsidP="00F310EA">
      <w:pPr>
        <w:spacing w:after="248"/>
        <w:ind w:left="-5" w:right="0"/>
        <w:jc w:val="left"/>
      </w:pPr>
      <w:hyperlink r:id="rId10" w:history="1">
        <w:r w:rsidR="00F310EA" w:rsidRPr="006254E0">
          <w:rPr>
            <w:rStyle w:val="Hyperlink"/>
          </w:rPr>
          <w:t>http://mip-prod-web.azurewebsites.net/ReportExplorer/Index</w:t>
        </w:r>
      </w:hyperlink>
    </w:p>
    <w:p w:rsidR="00F310EA" w:rsidRDefault="00F310EA" w:rsidP="00F310EA">
      <w:pPr>
        <w:spacing w:after="248"/>
        <w:ind w:left="-5" w:right="0"/>
        <w:jc w:val="left"/>
      </w:pPr>
    </w:p>
    <w:p w:rsidR="008354EB" w:rsidRDefault="008354EB" w:rsidP="008354EB">
      <w:pPr>
        <w:pStyle w:val="Heading2"/>
        <w:ind w:left="508" w:hanging="523"/>
      </w:pPr>
      <w:bookmarkStart w:id="6" w:name="_Toc4313"/>
      <w:r>
        <w:t>DATA DICTIONARY</w:t>
      </w:r>
      <w:bookmarkEnd w:id="6"/>
    </w:p>
    <w:p w:rsidR="008354EB" w:rsidRDefault="008354EB" w:rsidP="008354EB">
      <w:pPr>
        <w:spacing w:after="298"/>
        <w:ind w:left="5" w:right="0"/>
      </w:pPr>
      <w:r>
        <w:t>Using the Data Item Explorer tool on the website users are able to produce bespoke reports based on a variety of dates and individual data items.</w:t>
      </w:r>
    </w:p>
    <w:p w:rsidR="008354EB" w:rsidRDefault="008354EB" w:rsidP="008354EB">
      <w:pPr>
        <w:spacing w:after="224"/>
        <w:ind w:left="5" w:right="0"/>
      </w:pPr>
      <w:r>
        <w:t xml:space="preserve">The following data dictionary contains definitions for these data Items which have been </w:t>
      </w:r>
      <w:proofErr w:type="spellStart"/>
      <w:r>
        <w:t>categorised</w:t>
      </w:r>
      <w:proofErr w:type="spellEnd"/>
      <w:r>
        <w:t xml:space="preserve"> into the following areas:</w:t>
      </w:r>
    </w:p>
    <w:p w:rsidR="008354EB" w:rsidRDefault="008354EB" w:rsidP="008354EB">
      <w:pPr>
        <w:tabs>
          <w:tab w:val="center" w:pos="2278"/>
          <w:tab w:val="center" w:pos="4327"/>
          <w:tab w:val="center" w:pos="6409"/>
          <w:tab w:val="center" w:pos="8121"/>
        </w:tabs>
        <w:spacing w:after="10"/>
        <w:ind w:left="-5" w:right="0" w:firstLine="0"/>
        <w:jc w:val="left"/>
      </w:pPr>
      <w:r>
        <w:t>Balancing</w:t>
      </w:r>
      <w:r>
        <w:tab/>
        <w:t>Capacity Auction</w:t>
      </w:r>
      <w:r>
        <w:tab/>
        <w:t>Capacity Entry</w:t>
      </w:r>
      <w:r>
        <w:tab/>
        <w:t>Capacity Exit</w:t>
      </w:r>
      <w:r>
        <w:tab/>
        <w:t>CV</w:t>
      </w:r>
    </w:p>
    <w:p w:rsidR="008354EB" w:rsidRDefault="008354EB" w:rsidP="008354EB">
      <w:pPr>
        <w:tabs>
          <w:tab w:val="center" w:pos="2058"/>
          <w:tab w:val="center" w:pos="4168"/>
          <w:tab w:val="center" w:pos="6210"/>
          <w:tab w:val="center" w:pos="8130"/>
        </w:tabs>
        <w:spacing w:after="10"/>
        <w:ind w:left="-5" w:right="0" w:firstLine="0"/>
        <w:jc w:val="left"/>
      </w:pPr>
      <w:r>
        <w:t>Demand</w:t>
      </w:r>
      <w:r>
        <w:tab/>
        <w:t>Gas Trading</w:t>
      </w:r>
      <w:r>
        <w:tab/>
        <w:t>Interruption</w:t>
      </w:r>
      <w:r>
        <w:tab/>
      </w:r>
      <w:proofErr w:type="spellStart"/>
      <w:r>
        <w:t>Linepack</w:t>
      </w:r>
      <w:proofErr w:type="spellEnd"/>
      <w:r>
        <w:tab/>
        <w:t>LNG</w:t>
      </w:r>
    </w:p>
    <w:p w:rsidR="008354EB" w:rsidRDefault="008354EB" w:rsidP="008354EB">
      <w:pPr>
        <w:tabs>
          <w:tab w:val="center" w:pos="1759"/>
          <w:tab w:val="center" w:pos="4108"/>
          <w:tab w:val="center" w:pos="6105"/>
          <w:tab w:val="center" w:pos="7793"/>
        </w:tabs>
        <w:spacing w:after="12"/>
        <w:ind w:left="-5" w:right="0" w:firstLine="0"/>
        <w:jc w:val="left"/>
      </w:pPr>
      <w:r>
        <w:t>Storage</w:t>
      </w:r>
      <w:r>
        <w:tab/>
        <w:t>Prices</w:t>
      </w:r>
      <w:r>
        <w:tab/>
        <w:t>Shrinkage</w:t>
      </w:r>
      <w:r>
        <w:tab/>
        <w:t>Supply</w:t>
      </w:r>
      <w:r>
        <w:tab/>
        <w:t>Throughput</w:t>
      </w:r>
    </w:p>
    <w:p w:rsidR="008354EB" w:rsidRDefault="008354EB" w:rsidP="008354EB">
      <w:pPr>
        <w:tabs>
          <w:tab w:val="center" w:pos="2095"/>
        </w:tabs>
        <w:spacing w:after="509"/>
        <w:ind w:left="-5" w:right="0" w:firstLine="0"/>
        <w:jc w:val="left"/>
      </w:pPr>
      <w:r>
        <w:t>Weather</w:t>
      </w:r>
      <w:r>
        <w:tab/>
        <w:t>Exit Capacity</w:t>
      </w:r>
    </w:p>
    <w:p w:rsidR="008354EB" w:rsidRDefault="008354EB" w:rsidP="008354EB">
      <w:pPr>
        <w:ind w:left="5" w:right="0"/>
      </w:pPr>
      <w:r>
        <w:t>The UNC Data Dictionary can be found on the Joint Office website using the following link:</w:t>
      </w:r>
    </w:p>
    <w:p w:rsidR="00F310EA" w:rsidRDefault="00942EB6" w:rsidP="00D71C9F">
      <w:hyperlink r:id="rId11" w:history="1">
        <w:r w:rsidR="00F310EA" w:rsidRPr="006254E0">
          <w:rPr>
            <w:rStyle w:val="Hyperlink"/>
          </w:rPr>
          <w:t>http://www.gasgovernance.co.uk/tpddocs</w:t>
        </w:r>
      </w:hyperlink>
    </w:p>
    <w:sectPr w:rsidR="00F310EA">
      <w:footerReference w:type="default" r:id="rId12"/>
      <w:pgSz w:w="11900" w:h="16840"/>
      <w:pgMar w:top="1423" w:right="1421" w:bottom="1945" w:left="14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EB6" w:rsidRDefault="00942EB6" w:rsidP="00D71C9F">
      <w:pPr>
        <w:spacing w:after="0" w:line="240" w:lineRule="auto"/>
      </w:pPr>
      <w:r>
        <w:separator/>
      </w:r>
    </w:p>
  </w:endnote>
  <w:endnote w:type="continuationSeparator" w:id="0">
    <w:p w:rsidR="00942EB6" w:rsidRDefault="00942EB6" w:rsidP="00D7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420875"/>
      <w:docPartObj>
        <w:docPartGallery w:val="Page Numbers (Bottom of Page)"/>
        <w:docPartUnique/>
      </w:docPartObj>
    </w:sdtPr>
    <w:sdtEndPr>
      <w:rPr>
        <w:noProof/>
      </w:rPr>
    </w:sdtEndPr>
    <w:sdtContent>
      <w:p w:rsidR="00D71C9F" w:rsidRDefault="00D71C9F">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D71C9F" w:rsidRDefault="00D71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EB6" w:rsidRDefault="00942EB6" w:rsidP="00D71C9F">
      <w:pPr>
        <w:spacing w:after="0" w:line="240" w:lineRule="auto"/>
      </w:pPr>
      <w:r>
        <w:separator/>
      </w:r>
    </w:p>
  </w:footnote>
  <w:footnote w:type="continuationSeparator" w:id="0">
    <w:p w:rsidR="00942EB6" w:rsidRDefault="00942EB6" w:rsidP="00D71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F567B"/>
    <w:multiLevelType w:val="hybridMultilevel"/>
    <w:tmpl w:val="0E145432"/>
    <w:lvl w:ilvl="0" w:tplc="7FEC16D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91E4142">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3FA9C6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FCAB3F8">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10CA1CC">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F6A808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5C4E394">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D5AFE84">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8804BDC">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79501E"/>
    <w:multiLevelType w:val="multilevel"/>
    <w:tmpl w:val="C9DA5BCC"/>
    <w:lvl w:ilvl="0">
      <w:start w:val="1"/>
      <w:numFmt w:val="decimal"/>
      <w:pStyle w:val="Heading1"/>
      <w:lvlText w:val="%1."/>
      <w:lvlJc w:val="left"/>
      <w:pPr>
        <w:ind w:left="5954"/>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1">
      <w:start w:val="1"/>
      <w:numFmt w:val="decimal"/>
      <w:pStyle w:val="Heading2"/>
      <w:lvlText w:val="%1.%2."/>
      <w:lvlJc w:val="left"/>
      <w:pPr>
        <w:ind w:left="59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70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77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84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91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99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10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113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43"/>
    <w:rsid w:val="0000434F"/>
    <w:rsid w:val="006C3A43"/>
    <w:rsid w:val="006D7F16"/>
    <w:rsid w:val="007C30B7"/>
    <w:rsid w:val="008354EB"/>
    <w:rsid w:val="008C32B1"/>
    <w:rsid w:val="00942EB6"/>
    <w:rsid w:val="00D71C9F"/>
    <w:rsid w:val="00E063EB"/>
    <w:rsid w:val="00E91097"/>
    <w:rsid w:val="00F3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117A"/>
  <w15:docId w15:val="{378D5E6A-5D35-4A4F-89C9-336514B4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7" w:line="248" w:lineRule="auto"/>
      <w:ind w:left="10" w:right="8"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2"/>
      </w:numPr>
      <w:spacing w:after="213"/>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numPr>
        <w:ilvl w:val="1"/>
        <w:numId w:val="2"/>
      </w:numPr>
      <w:spacing w:after="222"/>
      <w:ind w:left="66"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paragraph" w:styleId="TOC1">
    <w:name w:val="toc 1"/>
    <w:hidden/>
    <w:pPr>
      <w:spacing w:after="258"/>
      <w:ind w:left="90" w:right="52" w:hanging="10"/>
    </w:pPr>
    <w:rPr>
      <w:rFonts w:ascii="Arial" w:eastAsia="Arial" w:hAnsi="Arial" w:cs="Arial"/>
      <w:color w:val="000000"/>
      <w:sz w:val="24"/>
    </w:rPr>
  </w:style>
  <w:style w:type="paragraph" w:styleId="TOC2">
    <w:name w:val="toc 2"/>
    <w:hidden/>
    <w:pPr>
      <w:spacing w:after="258"/>
      <w:ind w:left="234" w:right="52"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310EA"/>
    <w:rPr>
      <w:color w:val="0563C1" w:themeColor="hyperlink"/>
      <w:u w:val="single"/>
    </w:rPr>
  </w:style>
  <w:style w:type="character" w:styleId="Mention">
    <w:name w:val="Mention"/>
    <w:basedOn w:val="DefaultParagraphFont"/>
    <w:uiPriority w:val="99"/>
    <w:semiHidden/>
    <w:unhideWhenUsed/>
    <w:rsid w:val="00F310EA"/>
    <w:rPr>
      <w:color w:val="2B579A"/>
      <w:shd w:val="clear" w:color="auto" w:fill="E6E6E6"/>
    </w:rPr>
  </w:style>
  <w:style w:type="paragraph" w:styleId="Header">
    <w:name w:val="header"/>
    <w:basedOn w:val="Normal"/>
    <w:link w:val="HeaderChar"/>
    <w:uiPriority w:val="99"/>
    <w:unhideWhenUsed/>
    <w:rsid w:val="00D71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C9F"/>
    <w:rPr>
      <w:rFonts w:ascii="Arial" w:eastAsia="Arial" w:hAnsi="Arial" w:cs="Arial"/>
      <w:color w:val="000000"/>
    </w:rPr>
  </w:style>
  <w:style w:type="paragraph" w:styleId="Footer">
    <w:name w:val="footer"/>
    <w:basedOn w:val="Normal"/>
    <w:link w:val="FooterChar"/>
    <w:uiPriority w:val="99"/>
    <w:unhideWhenUsed/>
    <w:rsid w:val="00D71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C9F"/>
    <w:rPr>
      <w:rFonts w:ascii="Arial" w:eastAsia="Arial" w:hAnsi="Arial" w:cs="Arial"/>
      <w:color w:val="000000"/>
    </w:rPr>
  </w:style>
  <w:style w:type="paragraph" w:styleId="BalloonText">
    <w:name w:val="Balloon Text"/>
    <w:basedOn w:val="Normal"/>
    <w:link w:val="BalloonTextChar"/>
    <w:uiPriority w:val="99"/>
    <w:semiHidden/>
    <w:unhideWhenUsed/>
    <w:rsid w:val="00D71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C9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governance.co.uk/tpddocs" TargetMode="External"/><Relationship Id="rId5" Type="http://schemas.openxmlformats.org/officeDocument/2006/relationships/webSettings" Target="webSettings.xml"/><Relationship Id="rId10" Type="http://schemas.openxmlformats.org/officeDocument/2006/relationships/hyperlink" Target="http://mip-prod-web.azurewebsites.net/ReportExplorer/Index" TargetMode="External"/><Relationship Id="rId4" Type="http://schemas.openxmlformats.org/officeDocument/2006/relationships/settings" Target="settings.xml"/><Relationship Id="rId9" Type="http://schemas.openxmlformats.org/officeDocument/2006/relationships/hyperlink" Target="https://www.nationalgridgas.com/data-and-oper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FCF1-C67B-48B1-A75C-DEEA4CC6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UNCORM v12 FINAL</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UNCORM v12 FINAL</dc:title>
  <dc:subject/>
  <dc:creator>Hayley.Burden</dc:creator>
  <cp:keywords/>
  <cp:lastModifiedBy>Hinsley1, Rachel</cp:lastModifiedBy>
  <cp:revision>2</cp:revision>
  <cp:lastPrinted>2019-09-13T10:21:00Z</cp:lastPrinted>
  <dcterms:created xsi:type="dcterms:W3CDTF">2019-10-17T14:36:00Z</dcterms:created>
  <dcterms:modified xsi:type="dcterms:W3CDTF">2019-10-17T14:36:00Z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398885540</vt:i4>
  </property>
  <property fmtid="{D5CDD505-2E9C-101B-9397-08002B2CF9AE}" pid="3" name="_NewReviewCycle">
    <vt:lpwstr/>
  </property>
  <property fmtid="{D5CDD505-2E9C-101B-9397-08002B2CF9AE}" pid="4" name="_EmailSubject">
    <vt:lpwstr>EXT || UNC Data Dictionary changes as discussed at UNCC </vt:lpwstr>
  </property>
  <property fmtid="{D5CDD505-2E9C-101B-9397-08002B2CF9AE}" pid="5" name="_AuthorEmail">
    <vt:lpwstr>Rachel.Hinsley1@nationalgrid.com</vt:lpwstr>
  </property>
  <property fmtid="{D5CDD505-2E9C-101B-9397-08002B2CF9AE}" pid="6" name="_AuthorEmailDisplayName">
    <vt:lpwstr>Hinsley1, Rachel</vt:lpwstr>
  </property>
</Properties>
</file>